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BF3002" w:rsidP="006F4085" w:rsidRDefault="005126F3" w14:paraId="5B260D99" w14:textId="6C5AD86D" w14:noSpellErr="1">
      <w:pPr>
        <w:rPr>
          <w:b w:val="1"/>
          <w:bCs w:val="1"/>
          <w:color w:val="FF0000"/>
        </w:rPr>
      </w:pPr>
      <w:r w:rsidRPr="00BF3002">
        <w:rPr>
          <w:b/>
          <w:bCs/>
          <w:noProof/>
          <w:color w:val="FF0000"/>
        </w:rPr>
        <mc:AlternateContent>
          <mc:Choice Requires="wps">
            <w:drawing>
              <wp:anchor distT="45720" distB="45720" distL="114300" distR="114300" simplePos="0" relativeHeight="251661312" behindDoc="0" locked="0" layoutInCell="1" allowOverlap="1" wp14:anchorId="704DCB34" wp14:editId="3143D015">
                <wp:simplePos x="0" y="0"/>
                <wp:positionH relativeFrom="column">
                  <wp:posOffset>32385</wp:posOffset>
                </wp:positionH>
                <wp:positionV relativeFrom="paragraph">
                  <wp:posOffset>4547235</wp:posOffset>
                </wp:positionV>
                <wp:extent cx="6334125" cy="1866900"/>
                <wp:effectExtent l="0" t="0" r="28575" b="19050"/>
                <wp:wrapSquare wrapText="bothSides"/>
                <wp:docPr id="1769972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866900"/>
                        </a:xfrm>
                        <a:prstGeom prst="rect">
                          <a:avLst/>
                        </a:prstGeom>
                        <a:solidFill>
                          <a:srgbClr val="FFFFFF"/>
                        </a:solidFill>
                        <a:ln w="9525">
                          <a:solidFill>
                            <a:srgbClr val="000000"/>
                          </a:solidFill>
                          <a:miter lim="800000"/>
                          <a:headEnd/>
                          <a:tailEnd/>
                        </a:ln>
                      </wps:spPr>
                      <wps:txbx>
                        <w:txbxContent>
                          <w:p w:rsidRPr="006D2553" w:rsidR="00BF3002" w:rsidP="00BF3002" w:rsidRDefault="00BF3002" w14:paraId="678FE1F0" w14:textId="52B29D54">
                            <w:pPr>
                              <w:ind w:left="0" w:firstLine="0"/>
                              <w:rPr>
                                <w:b/>
                                <w:bCs/>
                                <w:i/>
                                <w:iCs/>
                                <w:color w:val="auto"/>
                              </w:rPr>
                            </w:pPr>
                            <w:r w:rsidRPr="006D2553">
                              <w:rPr>
                                <w:b/>
                                <w:bCs/>
                                <w:i/>
                                <w:iCs/>
                                <w:color w:val="auto"/>
                              </w:rPr>
                              <w:t>How to use this template</w:t>
                            </w:r>
                          </w:p>
                          <w:p w:rsidRPr="00BF3002" w:rsidR="00BF3002" w:rsidP="00BF3002" w:rsidRDefault="00BF3002" w14:paraId="49005DFA" w14:textId="77777777">
                            <w:pPr>
                              <w:ind w:left="0" w:firstLine="0"/>
                              <w:rPr>
                                <w:b/>
                                <w:bCs/>
                                <w:color w:val="FF0000"/>
                              </w:rPr>
                            </w:pPr>
                          </w:p>
                          <w:p w:rsidR="006D2553" w:rsidP="00BF3002" w:rsidRDefault="00BF3002" w14:paraId="37092103" w14:textId="77777777">
                            <w:pPr>
                              <w:ind w:left="0" w:firstLine="0"/>
                              <w:rPr>
                                <w:color w:val="auto"/>
                              </w:rPr>
                            </w:pPr>
                            <w:r w:rsidRPr="00BF3002">
                              <w:rPr>
                                <w:color w:val="auto"/>
                              </w:rPr>
                              <w:t xml:space="preserve">Advisers will need to go through the template filling in and adapting </w:t>
                            </w:r>
                            <w:r w:rsidRPr="00BF3002">
                              <w:rPr>
                                <w:color w:val="auto"/>
                                <w:highlight w:val="yellow"/>
                              </w:rPr>
                              <w:t>the text in yellow highlighting</w:t>
                            </w:r>
                            <w:r w:rsidRPr="00BF3002">
                              <w:rPr>
                                <w:color w:val="auto"/>
                              </w:rPr>
                              <w:t xml:space="preserve"> and reading the other text to make sure it is relevant to the appeal. Advisers can seek further advice with this from CPAG</w:t>
                            </w:r>
                            <w:r w:rsidR="006D2553">
                              <w:rPr>
                                <w:color w:val="auto"/>
                              </w:rPr>
                              <w:t xml:space="preserve"> by emailing </w:t>
                            </w:r>
                            <w:hyperlink w:history="1" r:id="rId11">
                              <w:r w:rsidRPr="00AD01E7" w:rsidR="006D2553">
                                <w:rPr>
                                  <w:rStyle w:val="Hyperlink"/>
                                </w:rPr>
                                <w:t>advice@cpag.org.uk</w:t>
                              </w:r>
                            </w:hyperlink>
                            <w:r w:rsidRPr="00BF3002">
                              <w:rPr>
                                <w:color w:val="auto"/>
                              </w:rPr>
                              <w:t>.</w:t>
                            </w:r>
                            <w:r w:rsidR="00147063">
                              <w:rPr>
                                <w:color w:val="auto"/>
                              </w:rPr>
                              <w:t xml:space="preserve"> </w:t>
                            </w:r>
                          </w:p>
                          <w:p w:rsidR="006D2553" w:rsidP="00BF3002" w:rsidRDefault="006D2553" w14:paraId="7B4DBBB3" w14:textId="77777777">
                            <w:pPr>
                              <w:ind w:left="0" w:firstLine="0"/>
                              <w:rPr>
                                <w:color w:val="auto"/>
                              </w:rPr>
                            </w:pPr>
                          </w:p>
                          <w:p w:rsidRPr="00BF3002" w:rsidR="00BF3002" w:rsidP="00BF3002" w:rsidRDefault="00147063" w14:paraId="15DBA6FB" w14:textId="74444D13">
                            <w:pPr>
                              <w:ind w:left="0" w:firstLine="0"/>
                              <w:rPr>
                                <w:color w:val="auto"/>
                              </w:rPr>
                            </w:pPr>
                            <w:r>
                              <w:rPr>
                                <w:color w:val="auto"/>
                              </w:rPr>
                              <w:t xml:space="preserve">Remove all </w:t>
                            </w:r>
                            <w:r w:rsidR="006D2553">
                              <w:rPr>
                                <w:color w:val="auto"/>
                              </w:rPr>
                              <w:t>highlighting</w:t>
                            </w:r>
                            <w:r>
                              <w:rPr>
                                <w:color w:val="auto"/>
                              </w:rPr>
                              <w:t xml:space="preserve"> once you have edited the text</w:t>
                            </w:r>
                            <w:r w:rsidR="006D2553">
                              <w:rPr>
                                <w:color w:val="auto"/>
                              </w:rPr>
                              <w:t xml:space="preserve">. </w:t>
                            </w:r>
                          </w:p>
                          <w:p w:rsidR="00BF3002" w:rsidRDefault="00BF3002" w14:paraId="1EF4F675" w14:textId="5A503949"/>
                          <w:p w:rsidRPr="00BF3002" w:rsidR="00BF3002" w:rsidRDefault="00BF3002" w14:paraId="58949C61" w14:textId="02F0696C">
                            <w:pPr>
                              <w:rPr>
                                <w:color w:val="FF0000"/>
                              </w:rPr>
                            </w:pPr>
                            <w:r w:rsidRPr="00BF3002">
                              <w:rPr>
                                <w:color w:val="FF0000"/>
                              </w:rPr>
                              <w:t>Delete</w:t>
                            </w:r>
                            <w:r>
                              <w:rPr>
                                <w:color w:val="FF0000"/>
                              </w:rPr>
                              <w:t xml:space="preserve"> this</w:t>
                            </w:r>
                            <w:r w:rsidRPr="00BF3002">
                              <w:rPr>
                                <w:color w:val="FF0000"/>
                              </w:rPr>
                              <w:t xml:space="preserve"> box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2CA3D03">
              <v:shapetype id="_x0000_t202" coordsize="21600,21600" o:spt="202" path="m,l,21600r21600,l21600,xe" w14:anchorId="704DCB34">
                <v:stroke joinstyle="miter"/>
                <v:path gradientshapeok="t" o:connecttype="rect"/>
              </v:shapetype>
              <v:shape id="Text Box 2" style="position:absolute;left:0;text-align:left;margin-left:2.55pt;margin-top:358.05pt;width:498.75pt;height:14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">
                <v:textbox>
                  <w:txbxContent>
                    <w:p w:rsidRPr="006D2553" w:rsidR="00BF3002" w:rsidP="00BF3002" w:rsidRDefault="00BF3002" w14:paraId="3EF1B3F3" w14:textId="52B29D54">
                      <w:pPr>
                        <w:ind w:left="0" w:firstLine="0"/>
                        <w:rPr>
                          <w:b/>
                          <w:bCs/>
                          <w:i/>
                          <w:iCs/>
                          <w:color w:val="auto"/>
                        </w:rPr>
                      </w:pPr>
                      <w:r w:rsidRPr="006D2553">
                        <w:rPr>
                          <w:b/>
                          <w:bCs/>
                          <w:i/>
                          <w:iCs/>
                          <w:color w:val="auto"/>
                        </w:rPr>
                        <w:t>How to use this template</w:t>
                      </w:r>
                    </w:p>
                    <w:p w:rsidRPr="00BF3002" w:rsidR="00BF3002" w:rsidP="00BF3002" w:rsidRDefault="00BF3002" w14:paraId="672A6659" w14:textId="77777777">
                      <w:pPr>
                        <w:ind w:left="0" w:firstLine="0"/>
                        <w:rPr>
                          <w:b/>
                          <w:bCs/>
                          <w:color w:val="FF0000"/>
                        </w:rPr>
                      </w:pPr>
                    </w:p>
                    <w:p w:rsidR="006D2553" w:rsidP="00BF3002" w:rsidRDefault="00BF3002" w14:paraId="127CBF87" w14:textId="77777777">
                      <w:pPr>
                        <w:ind w:left="0" w:firstLine="0"/>
                        <w:rPr>
                          <w:color w:val="auto"/>
                        </w:rPr>
                      </w:pPr>
                      <w:r w:rsidRPr="00BF3002">
                        <w:rPr>
                          <w:color w:val="auto"/>
                        </w:rPr>
                        <w:t xml:space="preserve">Advisers will need to go through the template filling in and adapting </w:t>
                      </w:r>
                      <w:r w:rsidRPr="00BF3002">
                        <w:rPr>
                          <w:color w:val="auto"/>
                          <w:highlight w:val="yellow"/>
                        </w:rPr>
                        <w:t>the text in yellow highlighting</w:t>
                      </w:r>
                      <w:r w:rsidRPr="00BF3002">
                        <w:rPr>
                          <w:color w:val="auto"/>
                        </w:rPr>
                        <w:t xml:space="preserve"> and reading the other text to make sure it is relevant to the appeal. Advisers can seek further advice with this from CPAG</w:t>
                      </w:r>
                      <w:r w:rsidR="006D2553">
                        <w:rPr>
                          <w:color w:val="auto"/>
                        </w:rPr>
                        <w:t xml:space="preserve"> by emailing </w:t>
                      </w:r>
                      <w:hyperlink w:history="1" r:id="rId12">
                        <w:r w:rsidRPr="00AD01E7" w:rsidR="006D2553">
                          <w:rPr>
                            <w:rStyle w:val="Hyperlink"/>
                          </w:rPr>
                          <w:t>advice@cpag.org.uk</w:t>
                        </w:r>
                      </w:hyperlink>
                      <w:r w:rsidRPr="00BF3002">
                        <w:rPr>
                          <w:color w:val="auto"/>
                        </w:rPr>
                        <w:t>.</w:t>
                      </w:r>
                      <w:r w:rsidR="00147063">
                        <w:rPr>
                          <w:color w:val="auto"/>
                        </w:rPr>
                        <w:t xml:space="preserve"> </w:t>
                      </w:r>
                    </w:p>
                    <w:p w:rsidR="006D2553" w:rsidP="00BF3002" w:rsidRDefault="006D2553" w14:paraId="0A37501D" w14:textId="77777777">
                      <w:pPr>
                        <w:ind w:left="0" w:firstLine="0"/>
                        <w:rPr>
                          <w:color w:val="auto"/>
                        </w:rPr>
                      </w:pPr>
                    </w:p>
                    <w:p w:rsidRPr="00BF3002" w:rsidR="00BF3002" w:rsidP="00BF3002" w:rsidRDefault="00147063" w14:paraId="2E4A21C7" w14:textId="74444D13">
                      <w:pPr>
                        <w:ind w:left="0" w:firstLine="0"/>
                        <w:rPr>
                          <w:color w:val="auto"/>
                        </w:rPr>
                      </w:pPr>
                      <w:r>
                        <w:rPr>
                          <w:color w:val="auto"/>
                        </w:rPr>
                        <w:t xml:space="preserve">Remove all </w:t>
                      </w:r>
                      <w:r w:rsidR="006D2553">
                        <w:rPr>
                          <w:color w:val="auto"/>
                        </w:rPr>
                        <w:t>highlighting</w:t>
                      </w:r>
                      <w:r>
                        <w:rPr>
                          <w:color w:val="auto"/>
                        </w:rPr>
                        <w:t xml:space="preserve"> once you have edited the text</w:t>
                      </w:r>
                      <w:r w:rsidR="006D2553">
                        <w:rPr>
                          <w:color w:val="auto"/>
                        </w:rPr>
                        <w:t xml:space="preserve">. </w:t>
                      </w:r>
                    </w:p>
                    <w:p w:rsidR="00BF3002" w:rsidRDefault="00BF3002" w14:paraId="5DAB6C7B" w14:textId="5A503949"/>
                    <w:p w:rsidRPr="00BF3002" w:rsidR="00BF3002" w:rsidRDefault="00BF3002" w14:paraId="61BFEF7B" w14:textId="02F0696C">
                      <w:pPr>
                        <w:rPr>
                          <w:color w:val="FF0000"/>
                        </w:rPr>
                      </w:pPr>
                      <w:r w:rsidRPr="00BF3002">
                        <w:rPr>
                          <w:color w:val="FF0000"/>
                        </w:rPr>
                        <w:t>Delete</w:t>
                      </w:r>
                      <w:r>
                        <w:rPr>
                          <w:color w:val="FF0000"/>
                        </w:rPr>
                        <w:t xml:space="preserve"> this</w:t>
                      </w:r>
                      <w:r w:rsidRPr="00BF3002">
                        <w:rPr>
                          <w:color w:val="FF0000"/>
                        </w:rPr>
                        <w:t xml:space="preserve"> box </w:t>
                      </w:r>
                    </w:p>
                  </w:txbxContent>
                </v:textbox>
                <w10:wrap type="square"/>
              </v:shape>
            </w:pict>
          </mc:Fallback>
        </mc:AlternateContent>
      </w:r>
      <w:r w:rsidRPr="00BF3002">
        <w:rPr>
          <w:b/>
          <w:bCs/>
          <w:noProof/>
          <w:color w:val="FF0000"/>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59264" behindDoc="0" locked="0" layoutInCell="1" allowOverlap="1" wp14:anchorId="61528EC4" wp14:editId="41AB6CA6">
                <wp:simplePos x="0" y="0"/>
                <wp:positionH relativeFrom="column">
                  <wp:posOffset>32385</wp:posOffset>
                </wp:positionH>
                <wp:positionV relativeFrom="paragraph">
                  <wp:posOffset>3810</wp:posOffset>
                </wp:positionV>
                <wp:extent cx="6334125" cy="4419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34125" cy="4419600"/>
                        </a:xfrm>
                        <a:prstGeom prst="rect">
                          <a:avLst/>
                        </a:prstGeom>
                        <a:solidFill>
                          <a:srgbClr val="FFFFFF"/>
                        </a:solidFill>
                        <a:ln w="9525">
                          <a:solidFill>
                            <a:srgbClr val="000000"/>
                          </a:solidFill>
                          <a:miter lim="800000"/>
                          <a:headEnd/>
                          <a:tailEnd/>
                        </a:ln>
                      </wps:spPr>
                      <wps:txbx>
                        <w:txbxContent>
                          <w:p xmlns:w14="http://schemas.microsoft.com/office/word/2010/wordml" w:rsidRPr="006D2553" w:rsidR="00BF3002" w:rsidP="00BF3002" w:rsidRDefault="00BF3002" w14:paraId="6C2F6BD4" w14:textId="26F2882C">
                            <w:pPr>
                              <w:rPr>
                                <w:b/>
                                <w:bCs/>
                                <w:i/>
                                <w:iCs/>
                                <w:color w:val="auto"/>
                              </w:rPr>
                            </w:pPr>
                            <w:r w:rsidRPr="006D2553">
                              <w:rPr>
                                <w:b/>
                                <w:bCs/>
                                <w:i/>
                                <w:iCs/>
                                <w:color w:val="auto"/>
                              </w:rPr>
                              <w:t>Who is this template for?</w:t>
                            </w:r>
                          </w:p>
                          <w:p xmlns:w14="http://schemas.microsoft.com/office/word/2010/wordml" w:rsidRPr="00BF3002" w:rsidR="00BF3002" w:rsidP="00BF3002" w:rsidRDefault="00BF3002" w14:paraId="72488A11" w14:textId="77777777">
                            <w:pPr>
                              <w:rPr>
                                <w:b/>
                                <w:bCs/>
                                <w:color w:val="auto"/>
                              </w:rPr>
                            </w:pPr>
                          </w:p>
                          <w:p xmlns:w14="http://schemas.microsoft.com/office/word/2010/wordml" w:rsidRPr="00BF3002" w:rsidR="00BF3002" w:rsidP="00BF3002" w:rsidRDefault="00BF3002" w14:paraId="63E5974C" w14:textId="7541FB3A">
                            <w:pPr>
                              <w:ind w:left="0" w:firstLine="0"/>
                              <w:rPr>
                                <w:color w:val="auto"/>
                              </w:rPr>
                            </w:pPr>
                            <w:r w:rsidRPr="00BF3002">
                              <w:rPr>
                                <w:color w:val="auto"/>
                              </w:rPr>
                              <w:t xml:space="preserve">This template can be used by advisers assisting </w:t>
                            </w:r>
                            <w:r w:rsidRPr="00BF3002">
                              <w:rPr>
                                <w:b/>
                                <w:bCs/>
                                <w:color w:val="auto"/>
                              </w:rPr>
                              <w:t>Third Country Nationals</w:t>
                            </w:r>
                            <w:r w:rsidRPr="00BF3002">
                              <w:rPr>
                                <w:color w:val="auto"/>
                              </w:rPr>
                              <w:t xml:space="preserve"> who have been issued with </w:t>
                            </w:r>
                            <w:r w:rsidR="006D2553">
                              <w:rPr>
                                <w:color w:val="auto"/>
                              </w:rPr>
                              <w:t xml:space="preserve">EU </w:t>
                            </w:r>
                            <w:r w:rsidRPr="00BF3002">
                              <w:rPr>
                                <w:color w:val="auto"/>
                              </w:rPr>
                              <w:t>P</w:t>
                            </w:r>
                            <w:r w:rsidR="006D2553">
                              <w:rPr>
                                <w:color w:val="auto"/>
                              </w:rPr>
                              <w:t>re Settled Status (P</w:t>
                            </w:r>
                            <w:r w:rsidRPr="00BF3002">
                              <w:rPr>
                                <w:color w:val="auto"/>
                              </w:rPr>
                              <w:t>SS</w:t>
                            </w:r>
                            <w:r w:rsidR="006D2553">
                              <w:rPr>
                                <w:color w:val="auto"/>
                              </w:rPr>
                              <w:t>)</w:t>
                            </w:r>
                            <w:r w:rsidRPr="00BF3002">
                              <w:rPr>
                                <w:color w:val="auto"/>
                              </w:rPr>
                              <w:t xml:space="preserve"> due to being family members of EU nationals to argue that </w:t>
                            </w:r>
                            <w:r w:rsidRPr="00BF3002">
                              <w:rPr>
                                <w:i/>
                                <w:iCs/>
                                <w:color w:val="auto"/>
                              </w:rPr>
                              <w:t xml:space="preserve">SSWP v AT (UC) </w:t>
                            </w:r>
                            <w:r w:rsidRPr="00BF3002">
                              <w:rPr>
                                <w:color w:val="auto"/>
                              </w:rPr>
                              <w:t xml:space="preserve">[2022] </w:t>
                            </w:r>
                            <w:proofErr w:type="spellStart"/>
                            <w:r w:rsidRPr="00BF3002">
                              <w:rPr>
                                <w:color w:val="auto"/>
                              </w:rPr>
                              <w:t>UKUT</w:t>
                            </w:r>
                            <w:proofErr w:type="spellEnd"/>
                            <w:r w:rsidRPr="00BF3002">
                              <w:rPr>
                                <w:color w:val="auto"/>
                              </w:rPr>
                              <w:t xml:space="preserve"> 330 (</w:t>
                            </w:r>
                            <w:proofErr w:type="spellStart"/>
                            <w:r w:rsidRPr="00BF3002">
                              <w:rPr>
                                <w:color w:val="auto"/>
                              </w:rPr>
                              <w:t>AAC</w:t>
                            </w:r>
                            <w:proofErr w:type="spellEnd"/>
                            <w:r w:rsidRPr="00BF3002">
                              <w:rPr>
                                <w:color w:val="auto"/>
                              </w:rPr>
                              <w:t xml:space="preserve">) can apply to their case in the First-tier Tribunal (see the note for advisers available on </w:t>
                            </w:r>
                            <w:hyperlink xmlns:r="http://schemas.openxmlformats.org/officeDocument/2006/relationships" w:history="1" r:id="rId13">
                              <w:r w:rsidRPr="00147063">
                                <w:rPr>
                                  <w:rStyle w:val="Hyperlink"/>
                                  <w:rFonts w:eastAsiaTheme="majorEastAsia"/>
                                  <w:color w:val="0070C0"/>
                                </w:rPr>
                                <w:t>this page</w:t>
                              </w:r>
                            </w:hyperlink>
                            <w:r w:rsidRPr="00BF3002">
                              <w:rPr>
                                <w:color w:val="auto"/>
                              </w:rPr>
                              <w:t xml:space="preserve"> for when the judgment might apply).</w:t>
                            </w:r>
                          </w:p>
                          <w:p xmlns:w14="http://schemas.microsoft.com/office/word/2010/wordml" w:rsidRPr="00BF3002" w:rsidR="00BF3002" w:rsidP="00BF3002" w:rsidRDefault="00BF3002" w14:paraId="79EA38D0" w14:textId="77777777">
                            <w:pPr>
                              <w:ind w:left="0" w:firstLine="0"/>
                              <w:rPr>
                                <w:color w:val="auto"/>
                              </w:rPr>
                            </w:pPr>
                          </w:p>
                          <w:p xmlns:w14="http://schemas.microsoft.com/office/word/2010/wordml" w:rsidRPr="00BF3002" w:rsidR="00BF3002" w:rsidP="00BF3002" w:rsidRDefault="00BF3002" w14:paraId="29928D95" w14:textId="77777777">
                            <w:pPr>
                              <w:ind w:left="0" w:firstLine="0"/>
                              <w:rPr>
                                <w:color w:val="auto"/>
                              </w:rPr>
                            </w:pPr>
                            <w:r w:rsidRPr="00BF3002">
                              <w:rPr>
                                <w:color w:val="auto"/>
                              </w:rPr>
                              <w:t xml:space="preserve">The template is designed to be used specifically in a case where the DWP argue that </w:t>
                            </w:r>
                            <w:r w:rsidRPr="00BF3002">
                              <w:rPr>
                                <w:i/>
                                <w:iCs/>
                                <w:color w:val="auto"/>
                              </w:rPr>
                              <w:t xml:space="preserve">AT </w:t>
                            </w:r>
                            <w:r w:rsidRPr="00BF3002">
                              <w:rPr>
                                <w:color w:val="auto"/>
                              </w:rPr>
                              <w:t xml:space="preserve">does not apply because they say the claimant is not an EU national but a third country national family member of an EU national. It does not cover claims by those from Norway, Iceland, </w:t>
                            </w:r>
                            <w:proofErr w:type="gramStart"/>
                            <w:r w:rsidRPr="00BF3002">
                              <w:rPr>
                                <w:color w:val="auto"/>
                              </w:rPr>
                              <w:t>Liechtenstein</w:t>
                            </w:r>
                            <w:proofErr w:type="gramEnd"/>
                            <w:r w:rsidRPr="00BF3002">
                              <w:rPr>
                                <w:color w:val="auto"/>
                              </w:rPr>
                              <w:t xml:space="preserve"> or Switzerland who are not themselves family members of an EU national. If you have such a client please get in touch with CPAG and we will advise.</w:t>
                            </w:r>
                          </w:p>
                          <w:p xmlns:w14="http://schemas.microsoft.com/office/word/2010/wordml" w:rsidRPr="00BF3002" w:rsidR="00BF3002" w:rsidP="00BF3002" w:rsidRDefault="00BF3002" w14:paraId="764E5715" w14:textId="77777777">
                            <w:pPr>
                              <w:ind w:left="0" w:firstLine="0"/>
                              <w:rPr>
                                <w:color w:val="auto"/>
                              </w:rPr>
                            </w:pPr>
                          </w:p>
                          <w:p xmlns:w14="http://schemas.microsoft.com/office/word/2010/wordml" w:rsidRPr="00BF3002" w:rsidR="00BF3002" w:rsidP="00BF3002" w:rsidRDefault="00BF3002" w14:paraId="366FA52F" w14:textId="77777777">
                            <w:pPr>
                              <w:ind w:left="0" w:firstLine="0"/>
                              <w:rPr>
                                <w:color w:val="auto"/>
                              </w:rPr>
                            </w:pPr>
                            <w:r w:rsidRPr="00BF3002">
                              <w:rPr>
                                <w:color w:val="auto"/>
                              </w:rPr>
                              <w:t xml:space="preserve">The template deals specifically with a situation where DWP have simply asserted this point (that third country nationals are not covered by </w:t>
                            </w:r>
                            <w:r w:rsidRPr="00BF3002">
                              <w:rPr>
                                <w:i/>
                                <w:iCs/>
                                <w:color w:val="auto"/>
                              </w:rPr>
                              <w:t xml:space="preserve">AT </w:t>
                            </w:r>
                            <w:r w:rsidRPr="00BF3002">
                              <w:rPr>
                                <w:color w:val="auto"/>
                              </w:rPr>
                              <w:t>without arguing it. If the DWP have made submissions on why they say that is the case please get in touch with CPAG and we will consider those.</w:t>
                            </w:r>
                          </w:p>
                          <w:p xmlns:w14="http://schemas.microsoft.com/office/word/2010/wordml" w:rsidRPr="00BF3002" w:rsidR="00BF3002" w:rsidP="00BF3002" w:rsidRDefault="00BF3002" w14:paraId="7420CCEB" w14:textId="77777777">
                            <w:pPr>
                              <w:ind w:left="0" w:firstLine="0"/>
                              <w:rPr>
                                <w:color w:val="auto"/>
                              </w:rPr>
                            </w:pPr>
                          </w:p>
                          <w:p xmlns:w14="http://schemas.microsoft.com/office/word/2010/wordml" w:rsidR="00BF3002" w:rsidP="00BF3002" w:rsidRDefault="00BF3002" w14:paraId="29625333" w14:textId="77777777">
                            <w:pPr>
                              <w:ind w:left="0" w:firstLine="0"/>
                              <w:rPr>
                                <w:color w:val="auto"/>
                              </w:rPr>
                            </w:pPr>
                            <w:r w:rsidRPr="00BF3002">
                              <w:rPr>
                                <w:color w:val="auto"/>
                              </w:rPr>
                              <w:t xml:space="preserve">The template does not deal with the more general issues of whether the claimant would suffer a breach of dignity if Universal Credit was </w:t>
                            </w:r>
                            <w:proofErr w:type="gramStart"/>
                            <w:r w:rsidRPr="00BF3002">
                              <w:rPr>
                                <w:color w:val="auto"/>
                              </w:rPr>
                              <w:t>refused</w:t>
                            </w:r>
                            <w:proofErr w:type="gramEnd"/>
                            <w:r w:rsidRPr="00BF3002">
                              <w:rPr>
                                <w:color w:val="auto"/>
                              </w:rPr>
                              <w:t xml:space="preserve"> and additional submissions and evidence will need to be presented on that point.</w:t>
                            </w:r>
                          </w:p>
                          <w:p xmlns:w14="http://schemas.microsoft.com/office/word/2010/wordml" w:rsidR="005126F3" w:rsidP="00BF3002" w:rsidRDefault="005126F3" w14:paraId="73768F4A" w14:textId="77777777">
                            <w:pPr>
                              <w:ind w:left="0" w:firstLine="0"/>
                              <w:rPr>
                                <w:color w:val="auto"/>
                              </w:rPr>
                            </w:pPr>
                          </w:p>
                          <w:p xmlns:w14="http://schemas.microsoft.com/office/word/2010/wordml" w:rsidRPr="00BF3002" w:rsidR="005126F3" w:rsidP="005126F3" w:rsidRDefault="005126F3" w14:paraId="42D5555C" w14:textId="2FCA6779">
                            <w:pPr>
                              <w:rPr>
                                <w:color w:val="FF0000"/>
                              </w:rPr>
                            </w:pPr>
                            <w:r w:rsidRPr="00BF3002">
                              <w:rPr>
                                <w:color w:val="FF0000"/>
                              </w:rPr>
                              <w:t>Delete</w:t>
                            </w:r>
                            <w:r>
                              <w:rPr>
                                <w:color w:val="FF0000"/>
                              </w:rPr>
                              <w:t xml:space="preserve"> this</w:t>
                            </w:r>
                            <w:r w:rsidRPr="00BF3002">
                              <w:rPr>
                                <w:color w:val="FF0000"/>
                              </w:rPr>
                              <w:t xml:space="preserve"> box </w:t>
                            </w:r>
                          </w:p>
                          <w:p xmlns:w14="http://schemas.microsoft.com/office/word/2010/wordml" w:rsidRPr="00BF3002" w:rsidR="005126F3" w:rsidP="00BF3002" w:rsidRDefault="005126F3" w14:paraId="67371BE9" w14:textId="77777777">
                            <w:pPr>
                              <w:ind w:left="0" w:firstLine="0"/>
                              <w:rPr>
                                <w:color w:val="auto"/>
                              </w:rPr>
                            </w:pPr>
                          </w:p>
                          <w:p xmlns:w14="http://schemas.microsoft.com/office/word/2010/wordml" w:rsidR="00BF3002" w:rsidRDefault="00BF3002" w14:paraId="63888C1C" w14:textId="628F1A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xmlns:w14="http://schemas.microsoft.com/office/word/2010/wordml" xmlns:w="http://schemas.openxmlformats.org/wordprocessingml/2006/main" w14:anchorId="4C78C15F">
              <v:shape xmlns:o="urn:schemas-microsoft-com:office:office" xmlns:v="urn:schemas-microsoft-com:vml" id="_x0000_s1027" style="position:absolute;left:0;text-align:left;margin-left:2.55pt;margin-top:.3pt;width:498.75pt;height:3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" w14:anchorId="61528EC4">
                <v:textbox>
                  <w:txbxContent>
                    <w:p w:rsidRPr="006D2553" w:rsidR="00BF3002" w:rsidP="00BF3002" w:rsidRDefault="00BF3002" w14:paraId="2066A43D" w14:textId="26F2882C">
                      <w:pPr>
                        <w:rPr>
                          <w:b/>
                          <w:bCs/>
                          <w:i/>
                          <w:iCs/>
                          <w:color w:val="auto"/>
                        </w:rPr>
                      </w:pPr>
                      <w:r w:rsidRPr="006D2553">
                        <w:rPr>
                          <w:b/>
                          <w:bCs/>
                          <w:i/>
                          <w:iCs/>
                          <w:color w:val="auto"/>
                        </w:rPr>
                        <w:t>Who is this template for?</w:t>
                      </w:r>
                    </w:p>
                    <w:p w:rsidRPr="00BF3002" w:rsidR="00BF3002" w:rsidP="00BF3002" w:rsidRDefault="00BF3002" w14:paraId="02EB378F" w14:textId="77777777">
                      <w:pPr>
                        <w:rPr>
                          <w:b/>
                          <w:bCs/>
                          <w:color w:val="auto"/>
                        </w:rPr>
                      </w:pPr>
                    </w:p>
                    <w:p w:rsidRPr="00BF3002" w:rsidR="00BF3002" w:rsidP="00BF3002" w:rsidRDefault="00BF3002" w14:paraId="6EF01B4A" w14:textId="7541FB3A">
                      <w:pPr>
                        <w:ind w:left="0" w:firstLine="0"/>
                        <w:rPr>
                          <w:color w:val="auto"/>
                        </w:rPr>
                      </w:pPr>
                      <w:r w:rsidRPr="00BF3002">
                        <w:rPr>
                          <w:color w:val="auto"/>
                        </w:rPr>
                        <w:t xml:space="preserve">This template can be used by advisers assisting </w:t>
                      </w:r>
                      <w:r w:rsidRPr="00BF3002">
                        <w:rPr>
                          <w:b/>
                          <w:bCs/>
                          <w:color w:val="auto"/>
                        </w:rPr>
                        <w:t>Third Country Nationals</w:t>
                      </w:r>
                      <w:r w:rsidRPr="00BF3002">
                        <w:rPr>
                          <w:color w:val="auto"/>
                        </w:rPr>
                        <w:t xml:space="preserve"> who have been issued with </w:t>
                      </w:r>
                      <w:r w:rsidR="006D2553">
                        <w:rPr>
                          <w:color w:val="auto"/>
                        </w:rPr>
                        <w:t xml:space="preserve">EU </w:t>
                      </w:r>
                      <w:r w:rsidRPr="00BF3002">
                        <w:rPr>
                          <w:color w:val="auto"/>
                        </w:rPr>
                        <w:t>P</w:t>
                      </w:r>
                      <w:r w:rsidR="006D2553">
                        <w:rPr>
                          <w:color w:val="auto"/>
                        </w:rPr>
                        <w:t>re Settled Status (P</w:t>
                      </w:r>
                      <w:r w:rsidRPr="00BF3002">
                        <w:rPr>
                          <w:color w:val="auto"/>
                        </w:rPr>
                        <w:t>SS</w:t>
                      </w:r>
                      <w:r w:rsidR="006D2553">
                        <w:rPr>
                          <w:color w:val="auto"/>
                        </w:rPr>
                        <w:t>)</w:t>
                      </w:r>
                      <w:r w:rsidRPr="00BF3002">
                        <w:rPr>
                          <w:color w:val="auto"/>
                        </w:rPr>
                        <w:t xml:space="preserve"> due to being family members of EU nationals to argue that </w:t>
                      </w:r>
                      <w:r w:rsidRPr="00BF3002">
                        <w:rPr>
                          <w:i/>
                          <w:iCs/>
                          <w:color w:val="auto"/>
                        </w:rPr>
                        <w:t xml:space="preserve">SSWP v AT (UC) </w:t>
                      </w:r>
                      <w:r w:rsidRPr="00BF3002">
                        <w:rPr>
                          <w:color w:val="auto"/>
                        </w:rPr>
                        <w:t xml:space="preserve">[2022] </w:t>
                      </w:r>
                      <w:proofErr w:type="spellStart"/>
                      <w:r w:rsidRPr="00BF3002">
                        <w:rPr>
                          <w:color w:val="auto"/>
                        </w:rPr>
                        <w:t>UKUT</w:t>
                      </w:r>
                      <w:proofErr w:type="spellEnd"/>
                      <w:r w:rsidRPr="00BF3002">
                        <w:rPr>
                          <w:color w:val="auto"/>
                        </w:rPr>
                        <w:t xml:space="preserve"> 330 (</w:t>
                      </w:r>
                      <w:proofErr w:type="spellStart"/>
                      <w:r w:rsidRPr="00BF3002">
                        <w:rPr>
                          <w:color w:val="auto"/>
                        </w:rPr>
                        <w:t>AAC</w:t>
                      </w:r>
                      <w:proofErr w:type="spellEnd"/>
                      <w:r w:rsidRPr="00BF3002">
                        <w:rPr>
                          <w:color w:val="auto"/>
                        </w:rPr>
                        <w:t xml:space="preserve">) can apply to their case in the First-tier Tribunal (see the note for advisers available on </w:t>
                      </w:r>
                      <w:hyperlink xmlns:r="http://schemas.openxmlformats.org/officeDocument/2006/relationships" w:history="1" r:id="rId14">
                        <w:r w:rsidRPr="00147063">
                          <w:rPr>
                            <w:rStyle w:val="Hyperlink"/>
                            <w:rFonts w:eastAsiaTheme="majorEastAsia"/>
                            <w:color w:val="0070C0"/>
                          </w:rPr>
                          <w:t>this page</w:t>
                        </w:r>
                      </w:hyperlink>
                      <w:r w:rsidRPr="00BF3002">
                        <w:rPr>
                          <w:color w:val="auto"/>
                        </w:rPr>
                        <w:t xml:space="preserve"> for when the judgment might apply).</w:t>
                      </w:r>
                    </w:p>
                    <w:p w:rsidRPr="00BF3002" w:rsidR="00BF3002" w:rsidP="00BF3002" w:rsidRDefault="00BF3002" w14:paraId="6A05A809" w14:textId="77777777">
                      <w:pPr>
                        <w:ind w:left="0" w:firstLine="0"/>
                        <w:rPr>
                          <w:color w:val="auto"/>
                        </w:rPr>
                      </w:pPr>
                    </w:p>
                    <w:p w:rsidRPr="00BF3002" w:rsidR="00BF3002" w:rsidP="00BF3002" w:rsidRDefault="00BF3002" w14:paraId="45240413" w14:textId="77777777">
                      <w:pPr>
                        <w:ind w:left="0" w:firstLine="0"/>
                        <w:rPr>
                          <w:color w:val="auto"/>
                        </w:rPr>
                      </w:pPr>
                      <w:r w:rsidRPr="00BF3002">
                        <w:rPr>
                          <w:color w:val="auto"/>
                        </w:rPr>
                        <w:t xml:space="preserve">The template is designed to be used specifically in a case where the DWP argue that </w:t>
                      </w:r>
                      <w:r w:rsidRPr="00BF3002">
                        <w:rPr>
                          <w:i/>
                          <w:iCs/>
                          <w:color w:val="auto"/>
                        </w:rPr>
                        <w:t xml:space="preserve">AT </w:t>
                      </w:r>
                      <w:r w:rsidRPr="00BF3002">
                        <w:rPr>
                          <w:color w:val="auto"/>
                        </w:rPr>
                        <w:t xml:space="preserve">does not apply because they say the claimant is not an EU national but a third country national family member of an EU national. It does not cover claims by those from Norway, Iceland, </w:t>
                      </w:r>
                      <w:proofErr w:type="gramStart"/>
                      <w:r w:rsidRPr="00BF3002">
                        <w:rPr>
                          <w:color w:val="auto"/>
                        </w:rPr>
                        <w:t>Liechtenstein</w:t>
                      </w:r>
                      <w:proofErr w:type="gramEnd"/>
                      <w:r w:rsidRPr="00BF3002">
                        <w:rPr>
                          <w:color w:val="auto"/>
                        </w:rPr>
                        <w:t xml:space="preserve"> or Switzerland who are not themselves family members of an EU national. If you have such a client please get in touch with CPAG and we will advise.</w:t>
                      </w:r>
                    </w:p>
                    <w:p w:rsidRPr="00BF3002" w:rsidR="00BF3002" w:rsidP="00BF3002" w:rsidRDefault="00BF3002" w14:paraId="5A39BBE3" w14:textId="77777777">
                      <w:pPr>
                        <w:ind w:left="0" w:firstLine="0"/>
                        <w:rPr>
                          <w:color w:val="auto"/>
                        </w:rPr>
                      </w:pPr>
                    </w:p>
                    <w:p w:rsidRPr="00BF3002" w:rsidR="00BF3002" w:rsidP="00BF3002" w:rsidRDefault="00BF3002" w14:paraId="06C2819A" w14:textId="77777777">
                      <w:pPr>
                        <w:ind w:left="0" w:firstLine="0"/>
                        <w:rPr>
                          <w:color w:val="auto"/>
                        </w:rPr>
                      </w:pPr>
                      <w:r w:rsidRPr="00BF3002">
                        <w:rPr>
                          <w:color w:val="auto"/>
                        </w:rPr>
                        <w:t xml:space="preserve">The template deals specifically with a situation where DWP have simply asserted this point (that third country nationals are not covered by </w:t>
                      </w:r>
                      <w:r w:rsidRPr="00BF3002">
                        <w:rPr>
                          <w:i/>
                          <w:iCs/>
                          <w:color w:val="auto"/>
                        </w:rPr>
                        <w:t xml:space="preserve">AT </w:t>
                      </w:r>
                      <w:r w:rsidRPr="00BF3002">
                        <w:rPr>
                          <w:color w:val="auto"/>
                        </w:rPr>
                        <w:t>without arguing it. If the DWP have made submissions on why they say that is the case please get in touch with CPAG and we will consider those.</w:t>
                      </w:r>
                    </w:p>
                    <w:p w:rsidRPr="00BF3002" w:rsidR="00BF3002" w:rsidP="00BF3002" w:rsidRDefault="00BF3002" w14:paraId="41C8F396" w14:textId="77777777">
                      <w:pPr>
                        <w:ind w:left="0" w:firstLine="0"/>
                        <w:rPr>
                          <w:color w:val="auto"/>
                        </w:rPr>
                      </w:pPr>
                    </w:p>
                    <w:p w:rsidR="00BF3002" w:rsidP="00BF3002" w:rsidRDefault="00BF3002" w14:paraId="7135BA28" w14:textId="77777777">
                      <w:pPr>
                        <w:ind w:left="0" w:firstLine="0"/>
                        <w:rPr>
                          <w:color w:val="auto"/>
                        </w:rPr>
                      </w:pPr>
                      <w:r w:rsidRPr="00BF3002">
                        <w:rPr>
                          <w:color w:val="auto"/>
                        </w:rPr>
                        <w:t xml:space="preserve">The template does not deal with the more general issues of whether the claimant would suffer a breach of dignity if Universal Credit was </w:t>
                      </w:r>
                      <w:proofErr w:type="gramStart"/>
                      <w:r w:rsidRPr="00BF3002">
                        <w:rPr>
                          <w:color w:val="auto"/>
                        </w:rPr>
                        <w:t>refused</w:t>
                      </w:r>
                      <w:proofErr w:type="gramEnd"/>
                      <w:r w:rsidRPr="00BF3002">
                        <w:rPr>
                          <w:color w:val="auto"/>
                        </w:rPr>
                        <w:t xml:space="preserve"> and additional submissions and evidence will need to be presented on that point.</w:t>
                      </w:r>
                    </w:p>
                    <w:p w:rsidR="005126F3" w:rsidP="00BF3002" w:rsidRDefault="005126F3" w14:paraId="72A3D3EC" w14:textId="77777777">
                      <w:pPr>
                        <w:ind w:left="0" w:firstLine="0"/>
                        <w:rPr>
                          <w:color w:val="auto"/>
                        </w:rPr>
                      </w:pPr>
                    </w:p>
                    <w:p w:rsidRPr="00BF3002" w:rsidR="005126F3" w:rsidP="005126F3" w:rsidRDefault="005126F3" w14:paraId="501264F7" w14:textId="2FCA6779">
                      <w:pPr>
                        <w:rPr>
                          <w:color w:val="FF0000"/>
                        </w:rPr>
                      </w:pPr>
                      <w:r w:rsidRPr="00BF3002">
                        <w:rPr>
                          <w:color w:val="FF0000"/>
                        </w:rPr>
                        <w:t>Delete</w:t>
                      </w:r>
                      <w:r>
                        <w:rPr>
                          <w:color w:val="FF0000"/>
                        </w:rPr>
                        <w:t xml:space="preserve"> this</w:t>
                      </w:r>
                      <w:r w:rsidRPr="00BF3002">
                        <w:rPr>
                          <w:color w:val="FF0000"/>
                        </w:rPr>
                        <w:t xml:space="preserve"> box </w:t>
                      </w:r>
                    </w:p>
                    <w:p w:rsidRPr="00BF3002" w:rsidR="005126F3" w:rsidP="00BF3002" w:rsidRDefault="005126F3" w14:paraId="0D0B940D" w14:textId="77777777">
                      <w:pPr>
                        <w:ind w:left="0" w:firstLine="0"/>
                        <w:rPr>
                          <w:color w:val="auto"/>
                        </w:rPr>
                      </w:pPr>
                    </w:p>
                    <w:p w:rsidR="00BF3002" w:rsidRDefault="00BF3002" w14:paraId="0E27B00A" w14:textId="628F1A58"/>
                  </w:txbxContent>
                </v:textbox>
                <w10:wrap xmlns:w10="urn:schemas-microsoft-com:office:word" type="square"/>
              </v:shape>
            </w:pict>
          </mc:Fallback>
        </mc:AlternateContent>
      </w:r>
    </w:p>
    <w:tbl>
      <w:tblPr>
        <w:tblW w:w="9638" w:type="dxa"/>
        <w:tblLayout w:type="fixed"/>
        <w:tblCellMar>
          <w:left w:w="10" w:type="dxa"/>
          <w:right w:w="10" w:type="dxa"/>
        </w:tblCellMar>
        <w:tblLook w:val="0000" w:firstRow="0" w:lastRow="0" w:firstColumn="0" w:lastColumn="0" w:noHBand="0" w:noVBand="0"/>
      </w:tblPr>
      <w:tblGrid>
        <w:gridCol w:w="4819"/>
        <w:gridCol w:w="4819"/>
      </w:tblGrid>
      <w:tr w:rsidRPr="00907036" w:rsidR="0009627B" w14:paraId="2F078BEE" w14:textId="77777777">
        <w:tc>
          <w:tcPr>
            <w:tcW w:w="4819" w:type="dxa"/>
          </w:tcPr>
          <w:p w:rsidRPr="00907036" w:rsidR="00F7436D" w:rsidRDefault="0095213B" w14:paraId="2F894EFD" w14:textId="77777777">
            <w:pPr>
              <w:pStyle w:val="TableContents"/>
              <w:rPr>
                <w:rFonts w:asciiTheme="majorHAnsi" w:hAnsiTheme="majorHAnsi" w:cstheme="majorHAnsi"/>
                <w:b/>
                <w:bCs/>
              </w:rPr>
            </w:pPr>
            <w:r w:rsidRPr="00907036">
              <w:rPr>
                <w:rFonts w:asciiTheme="majorHAnsi" w:hAnsiTheme="majorHAnsi" w:cstheme="majorHAnsi"/>
                <w:b/>
                <w:bCs/>
              </w:rPr>
              <w:t xml:space="preserve">In the </w:t>
            </w:r>
            <w:r w:rsidRPr="00907036" w:rsidR="00DB28FE">
              <w:rPr>
                <w:rFonts w:asciiTheme="majorHAnsi" w:hAnsiTheme="majorHAnsi" w:cstheme="majorHAnsi"/>
                <w:b/>
                <w:bCs/>
              </w:rPr>
              <w:t xml:space="preserve">First-tier Tribunal </w:t>
            </w:r>
            <w:r w:rsidRPr="00907036" w:rsidR="00DB28FE">
              <w:rPr>
                <w:rFonts w:asciiTheme="majorHAnsi" w:hAnsiTheme="majorHAnsi" w:cstheme="majorHAnsi"/>
                <w:b/>
                <w:bCs/>
              </w:rPr>
              <w:br/>
            </w:r>
            <w:r w:rsidRPr="00907036" w:rsidR="00DB28FE">
              <w:rPr>
                <w:rFonts w:asciiTheme="majorHAnsi" w:hAnsiTheme="majorHAnsi" w:cstheme="majorHAnsi"/>
                <w:b/>
                <w:bCs/>
              </w:rPr>
              <w:t>(Social Entitlement</w:t>
            </w:r>
            <w:r w:rsidRPr="00907036" w:rsidR="00F7436D">
              <w:rPr>
                <w:rFonts w:asciiTheme="majorHAnsi" w:hAnsiTheme="majorHAnsi" w:cstheme="majorHAnsi"/>
                <w:b/>
                <w:bCs/>
              </w:rPr>
              <w:t xml:space="preserve"> Chamber)</w:t>
            </w:r>
          </w:p>
          <w:p w:rsidRPr="00907036" w:rsidR="00F7436D" w:rsidRDefault="00F7436D" w14:paraId="41A814CE" w14:textId="77777777">
            <w:pPr>
              <w:pStyle w:val="TableContents"/>
              <w:rPr>
                <w:rFonts w:asciiTheme="majorHAnsi" w:hAnsiTheme="majorHAnsi" w:cstheme="majorHAnsi"/>
                <w:b/>
                <w:bCs/>
              </w:rPr>
            </w:pPr>
          </w:p>
          <w:p w:rsidRPr="00907036" w:rsidR="00DB28FE" w:rsidRDefault="00DB28FE" w14:paraId="6832F4F5" w14:textId="77777777">
            <w:pPr>
              <w:pStyle w:val="TableContents"/>
              <w:rPr>
                <w:rFonts w:asciiTheme="majorHAnsi" w:hAnsiTheme="majorHAnsi" w:cstheme="majorHAnsi"/>
                <w:b/>
                <w:bCs/>
              </w:rPr>
            </w:pPr>
          </w:p>
          <w:p w:rsidRPr="00907036" w:rsidR="00DB28FE" w:rsidRDefault="00DB28FE" w14:paraId="05EC37D8" w14:textId="77777777">
            <w:pPr>
              <w:pStyle w:val="TableContents"/>
              <w:rPr>
                <w:rFonts w:asciiTheme="majorHAnsi" w:hAnsiTheme="majorHAnsi" w:cstheme="majorHAnsi"/>
                <w:b/>
                <w:bCs/>
              </w:rPr>
            </w:pPr>
            <w:r w:rsidRPr="00907036">
              <w:rPr>
                <w:rFonts w:asciiTheme="majorHAnsi" w:hAnsiTheme="majorHAnsi" w:cstheme="majorHAnsi"/>
                <w:b/>
                <w:bCs/>
              </w:rPr>
              <w:t>BETWEEN:</w:t>
            </w:r>
          </w:p>
          <w:p w:rsidRPr="00907036" w:rsidR="0009627B" w:rsidRDefault="0009627B" w14:paraId="52270EF7" w14:textId="77777777">
            <w:pPr>
              <w:pStyle w:val="TableContents"/>
              <w:rPr>
                <w:rFonts w:asciiTheme="majorHAnsi" w:hAnsiTheme="majorHAnsi" w:cstheme="majorHAnsi"/>
                <w:b/>
                <w:bCs/>
              </w:rPr>
            </w:pPr>
          </w:p>
        </w:tc>
        <w:tc>
          <w:tcPr>
            <w:tcW w:w="4819" w:type="dxa"/>
          </w:tcPr>
          <w:p w:rsidRPr="00330B57" w:rsidR="0009627B" w:rsidP="0085725C" w:rsidRDefault="00330B57" w14:paraId="3F760E18" w14:textId="223F3286">
            <w:pPr>
              <w:pStyle w:val="TableContents"/>
              <w:jc w:val="right"/>
              <w:rPr>
                <w:rFonts w:asciiTheme="majorHAnsi" w:hAnsiTheme="majorHAnsi" w:cstheme="majorHAnsi"/>
                <w:b/>
                <w:bCs/>
              </w:rPr>
            </w:pPr>
            <w:r w:rsidRPr="00330B57">
              <w:rPr>
                <w:rFonts w:asciiTheme="majorHAnsi" w:hAnsiTheme="majorHAnsi" w:cstheme="majorHAnsi"/>
                <w:b/>
                <w:bCs/>
                <w:highlight w:val="yellow"/>
              </w:rPr>
              <w:t>[TRIBUNAL REFERENCE]</w:t>
            </w:r>
          </w:p>
        </w:tc>
      </w:tr>
      <w:tr w:rsidRPr="00907036" w:rsidR="0009627B" w14:paraId="5E521D4D" w14:textId="77777777">
        <w:trPr>
          <w:trHeight w:val="880"/>
        </w:trPr>
        <w:tc>
          <w:tcPr>
            <w:tcW w:w="9638" w:type="dxa"/>
            <w:gridSpan w:val="2"/>
          </w:tcPr>
          <w:p w:rsidRPr="00907036" w:rsidR="0009627B" w:rsidRDefault="0009627B" w14:paraId="4F9001CD" w14:textId="77777777">
            <w:pPr>
              <w:pStyle w:val="TableContents"/>
              <w:jc w:val="center"/>
              <w:rPr>
                <w:rFonts w:asciiTheme="majorHAnsi" w:hAnsiTheme="majorHAnsi" w:cstheme="majorHAnsi"/>
                <w:b/>
                <w:bCs/>
              </w:rPr>
            </w:pPr>
          </w:p>
          <w:p w:rsidRPr="00907036" w:rsidR="0009627B" w:rsidRDefault="0009627B" w14:paraId="62A1F53B" w14:textId="77777777">
            <w:pPr>
              <w:pStyle w:val="TableContents"/>
              <w:jc w:val="center"/>
              <w:rPr>
                <w:rFonts w:asciiTheme="majorHAnsi" w:hAnsiTheme="majorHAnsi" w:cstheme="majorHAnsi"/>
                <w:b/>
                <w:bCs/>
              </w:rPr>
            </w:pPr>
          </w:p>
          <w:p w:rsidRPr="00907036" w:rsidR="0009627B" w:rsidRDefault="00D82C50" w14:paraId="7A49B784" w14:textId="77777777">
            <w:pPr>
              <w:pStyle w:val="TableContents"/>
              <w:jc w:val="center"/>
              <w:rPr>
                <w:rFonts w:asciiTheme="majorHAnsi" w:hAnsiTheme="majorHAnsi" w:cstheme="majorHAnsi"/>
                <w:b/>
                <w:bCs/>
              </w:rPr>
            </w:pPr>
            <w:r w:rsidRPr="00330B57">
              <w:rPr>
                <w:rFonts w:asciiTheme="majorHAnsi" w:hAnsiTheme="majorHAnsi" w:cstheme="majorHAnsi"/>
                <w:b/>
                <w:bCs/>
                <w:highlight w:val="yellow"/>
              </w:rPr>
              <w:t>[APPELLANT NAME]</w:t>
            </w:r>
          </w:p>
          <w:p w:rsidRPr="00907036" w:rsidR="0009627B" w:rsidRDefault="0095213B" w14:paraId="7912300C" w14:textId="77777777">
            <w:pPr>
              <w:pStyle w:val="TableContents"/>
              <w:jc w:val="right"/>
              <w:rPr>
                <w:rFonts w:asciiTheme="majorHAnsi" w:hAnsiTheme="majorHAnsi" w:cstheme="majorHAnsi"/>
                <w:b/>
                <w:bCs/>
                <w:u w:val="single"/>
              </w:rPr>
            </w:pPr>
            <w:r w:rsidRPr="00907036">
              <w:rPr>
                <w:rFonts w:asciiTheme="majorHAnsi" w:hAnsiTheme="majorHAnsi" w:cstheme="majorHAnsi"/>
                <w:b/>
                <w:bCs/>
                <w:u w:val="single"/>
              </w:rPr>
              <w:t>Appellant</w:t>
            </w:r>
          </w:p>
          <w:p w:rsidRPr="00907036" w:rsidR="0009627B" w:rsidRDefault="0095213B" w14:paraId="49CA282E" w14:textId="77777777">
            <w:pPr>
              <w:pStyle w:val="TableContents"/>
              <w:spacing w:before="624"/>
              <w:jc w:val="center"/>
              <w:rPr>
                <w:rFonts w:asciiTheme="majorHAnsi" w:hAnsiTheme="majorHAnsi" w:cstheme="majorHAnsi"/>
                <w:b/>
                <w:bCs/>
              </w:rPr>
            </w:pPr>
            <w:r w:rsidRPr="00907036">
              <w:rPr>
                <w:rFonts w:asciiTheme="majorHAnsi" w:hAnsiTheme="majorHAnsi" w:cstheme="majorHAnsi"/>
                <w:b/>
                <w:bCs/>
              </w:rPr>
              <w:t>-and-</w:t>
            </w:r>
          </w:p>
          <w:p w:rsidRPr="00907036" w:rsidR="0009627B" w:rsidRDefault="00A24C99" w14:paraId="6B74553C" w14:textId="77777777">
            <w:pPr>
              <w:pStyle w:val="TableContents"/>
              <w:spacing w:before="624"/>
              <w:jc w:val="center"/>
              <w:rPr>
                <w:rFonts w:asciiTheme="majorHAnsi" w:hAnsiTheme="majorHAnsi" w:cstheme="majorHAnsi"/>
                <w:b/>
                <w:bCs/>
              </w:rPr>
            </w:pPr>
            <w:r w:rsidRPr="00907036">
              <w:rPr>
                <w:rFonts w:asciiTheme="majorHAnsi" w:hAnsiTheme="majorHAnsi" w:cstheme="majorHAnsi"/>
                <w:b/>
                <w:bCs/>
              </w:rPr>
              <w:t>SECRETARY OF STATE FOR WORK AND PENSIONS</w:t>
            </w:r>
          </w:p>
          <w:p w:rsidRPr="00907036" w:rsidR="0009627B" w:rsidRDefault="0095213B" w14:paraId="68F6C78B" w14:textId="77777777">
            <w:pPr>
              <w:pStyle w:val="TableContents"/>
              <w:jc w:val="right"/>
              <w:rPr>
                <w:rFonts w:asciiTheme="majorHAnsi" w:hAnsiTheme="majorHAnsi" w:cstheme="majorHAnsi"/>
                <w:b/>
                <w:bCs/>
                <w:u w:val="single"/>
              </w:rPr>
            </w:pPr>
            <w:r w:rsidRPr="00907036">
              <w:rPr>
                <w:rFonts w:asciiTheme="majorHAnsi" w:hAnsiTheme="majorHAnsi" w:cstheme="majorHAnsi"/>
                <w:b/>
                <w:bCs/>
                <w:u w:val="single"/>
              </w:rPr>
              <w:t>Respondent</w:t>
            </w:r>
          </w:p>
        </w:tc>
      </w:tr>
      <w:tr w:rsidRPr="00907036" w:rsidR="0009627B" w14:paraId="6FE64906" w14:textId="77777777">
        <w:trPr>
          <w:trHeight w:val="880"/>
        </w:trPr>
        <w:tc>
          <w:tcPr>
            <w:tcW w:w="9638" w:type="dxa"/>
            <w:gridSpan w:val="2"/>
          </w:tcPr>
          <w:p w:rsidRPr="00907036" w:rsidR="0009627B" w:rsidRDefault="0095213B" w14:paraId="0F3AEBD7" w14:textId="77777777">
            <w:pPr>
              <w:pStyle w:val="TableContents"/>
              <w:spacing w:before="156"/>
              <w:jc w:val="center"/>
              <w:rPr>
                <w:rFonts w:asciiTheme="majorHAnsi" w:hAnsiTheme="majorHAnsi" w:cstheme="majorHAnsi"/>
                <w:b/>
                <w:bCs/>
              </w:rPr>
            </w:pPr>
            <w:r w:rsidRPr="00907036">
              <w:rPr>
                <w:rFonts w:asciiTheme="majorHAnsi" w:hAnsiTheme="majorHAnsi" w:cstheme="majorHAnsi"/>
                <w:b/>
                <w:bCs/>
              </w:rPr>
              <w:t>_________________________________________________</w:t>
            </w:r>
          </w:p>
          <w:p w:rsidRPr="00907036" w:rsidR="007D149A" w:rsidP="00284F9A" w:rsidRDefault="00F84258" w14:paraId="62765AEA" w14:textId="6E4D5D3F">
            <w:pPr>
              <w:pStyle w:val="TableContents"/>
              <w:spacing w:before="156"/>
              <w:jc w:val="center"/>
              <w:rPr>
                <w:rFonts w:asciiTheme="majorHAnsi" w:hAnsiTheme="majorHAnsi" w:cstheme="majorHAnsi"/>
                <w:b/>
                <w:bCs/>
              </w:rPr>
            </w:pPr>
            <w:r w:rsidRPr="00907036">
              <w:rPr>
                <w:rFonts w:asciiTheme="majorHAnsi" w:hAnsiTheme="majorHAnsi" w:cstheme="majorHAnsi"/>
                <w:b/>
                <w:bCs/>
              </w:rPr>
              <w:t xml:space="preserve">Reply for Appellant on issue of whether </w:t>
            </w:r>
            <w:r w:rsidRPr="00907036">
              <w:rPr>
                <w:rFonts w:asciiTheme="majorHAnsi" w:hAnsiTheme="majorHAnsi" w:cstheme="majorHAnsi"/>
                <w:b/>
                <w:bCs/>
                <w:i/>
                <w:iCs/>
              </w:rPr>
              <w:t xml:space="preserve">SSWP v AT </w:t>
            </w:r>
            <w:r w:rsidRPr="00907036">
              <w:rPr>
                <w:rFonts w:asciiTheme="majorHAnsi" w:hAnsiTheme="majorHAnsi" w:cstheme="majorHAnsi"/>
                <w:b/>
                <w:bCs/>
              </w:rPr>
              <w:t xml:space="preserve">can be relied on </w:t>
            </w:r>
            <w:r w:rsidR="00B45719">
              <w:rPr>
                <w:rFonts w:asciiTheme="majorHAnsi" w:hAnsiTheme="majorHAnsi" w:cstheme="majorHAnsi"/>
                <w:b/>
                <w:bCs/>
              </w:rPr>
              <w:t>by third country nationals</w:t>
            </w:r>
          </w:p>
          <w:p w:rsidRPr="00907036" w:rsidR="0009627B" w:rsidRDefault="0095213B" w14:paraId="718AAB9B" w14:textId="77777777">
            <w:pPr>
              <w:pStyle w:val="TableContents"/>
              <w:spacing w:before="156"/>
              <w:jc w:val="center"/>
              <w:rPr>
                <w:rFonts w:asciiTheme="majorHAnsi" w:hAnsiTheme="majorHAnsi" w:cstheme="majorHAnsi"/>
                <w:b/>
                <w:bCs/>
              </w:rPr>
            </w:pPr>
            <w:r w:rsidRPr="00907036">
              <w:rPr>
                <w:rFonts w:asciiTheme="majorHAnsi" w:hAnsiTheme="majorHAnsi" w:cstheme="majorHAnsi"/>
                <w:b/>
                <w:bCs/>
              </w:rPr>
              <w:t>_________________________________________________</w:t>
            </w:r>
          </w:p>
        </w:tc>
      </w:tr>
    </w:tbl>
    <w:p w:rsidRPr="00907036" w:rsidR="00127D52" w:rsidP="004019BA" w:rsidRDefault="00187727" w14:paraId="708C64C9" w14:textId="28847674">
      <w:pPr>
        <w:pStyle w:val="Standard"/>
        <w:tabs>
          <w:tab w:val="left" w:pos="717"/>
        </w:tabs>
        <w:spacing w:before="240" w:line="360" w:lineRule="auto"/>
        <w:jc w:val="both"/>
        <w:rPr>
          <w:rFonts w:asciiTheme="majorHAnsi" w:hAnsiTheme="majorHAnsi" w:cstheme="majorHAnsi"/>
          <w:b/>
          <w:bCs/>
          <w:u w:val="single"/>
        </w:rPr>
      </w:pPr>
      <w:r>
        <w:rPr>
          <w:rFonts w:asciiTheme="majorHAnsi" w:hAnsiTheme="majorHAnsi" w:cstheme="majorHAnsi"/>
          <w:b/>
          <w:bCs/>
          <w:u w:val="single"/>
        </w:rPr>
        <w:t>Introduction</w:t>
      </w:r>
    </w:p>
    <w:p w:rsidRPr="00907036" w:rsidR="00D53E23" w:rsidP="004019BA" w:rsidRDefault="00F84258" w14:paraId="55036BBA" w14:textId="5A68EBF9">
      <w:pPr>
        <w:pStyle w:val="Standard"/>
        <w:numPr>
          <w:ilvl w:val="0"/>
          <w:numId w:val="11"/>
        </w:numPr>
        <w:tabs>
          <w:tab w:val="left" w:pos="717"/>
        </w:tabs>
        <w:spacing w:before="240" w:line="360" w:lineRule="auto"/>
        <w:jc w:val="both"/>
        <w:rPr>
          <w:rFonts w:asciiTheme="majorHAnsi" w:hAnsiTheme="majorHAnsi" w:cstheme="majorHAnsi"/>
        </w:rPr>
      </w:pPr>
      <w:r w:rsidRPr="00907036">
        <w:rPr>
          <w:rFonts w:asciiTheme="majorHAnsi" w:hAnsiTheme="majorHAnsi" w:cstheme="majorHAnsi"/>
        </w:rPr>
        <w:t xml:space="preserve">These submissions </w:t>
      </w:r>
      <w:r w:rsidRPr="00907036" w:rsidR="002C44C5">
        <w:rPr>
          <w:rFonts w:asciiTheme="majorHAnsi" w:hAnsiTheme="majorHAnsi" w:cstheme="majorHAnsi"/>
        </w:rPr>
        <w:t xml:space="preserve">explain why the </w:t>
      </w:r>
      <w:r w:rsidR="00AE20EC">
        <w:rPr>
          <w:rFonts w:asciiTheme="majorHAnsi" w:hAnsiTheme="majorHAnsi" w:cstheme="majorHAnsi"/>
        </w:rPr>
        <w:t xml:space="preserve">Respondent </w:t>
      </w:r>
      <w:r w:rsidRPr="00907036" w:rsidR="002C44C5">
        <w:rPr>
          <w:rFonts w:asciiTheme="majorHAnsi" w:hAnsiTheme="majorHAnsi" w:cstheme="majorHAnsi"/>
        </w:rPr>
        <w:t xml:space="preserve">is wrong to submit that a </w:t>
      </w:r>
      <w:r w:rsidR="00B45719">
        <w:rPr>
          <w:rFonts w:asciiTheme="majorHAnsi" w:hAnsiTheme="majorHAnsi" w:cstheme="majorHAnsi"/>
        </w:rPr>
        <w:t>third country national</w:t>
      </w:r>
      <w:r w:rsidRPr="00907036" w:rsidR="002C44C5">
        <w:rPr>
          <w:rFonts w:asciiTheme="majorHAnsi" w:hAnsiTheme="majorHAnsi" w:cstheme="majorHAnsi"/>
        </w:rPr>
        <w:t xml:space="preserve"> </w:t>
      </w:r>
      <w:r w:rsidR="00B45719">
        <w:rPr>
          <w:rFonts w:asciiTheme="majorHAnsi" w:hAnsiTheme="majorHAnsi" w:cstheme="majorHAnsi"/>
        </w:rPr>
        <w:t>(‘</w:t>
      </w:r>
      <w:r w:rsidRPr="00B45719" w:rsidR="00B45719">
        <w:rPr>
          <w:rFonts w:asciiTheme="majorHAnsi" w:hAnsiTheme="majorHAnsi" w:cstheme="majorHAnsi"/>
          <w:b/>
          <w:bCs/>
        </w:rPr>
        <w:t>TCN</w:t>
      </w:r>
      <w:r w:rsidR="00B45719">
        <w:rPr>
          <w:rFonts w:asciiTheme="majorHAnsi" w:hAnsiTheme="majorHAnsi" w:cstheme="majorHAnsi"/>
        </w:rPr>
        <w:t xml:space="preserve">’) </w:t>
      </w:r>
      <w:r w:rsidRPr="00907036" w:rsidR="002C44C5">
        <w:rPr>
          <w:rFonts w:asciiTheme="majorHAnsi" w:hAnsiTheme="majorHAnsi" w:cstheme="majorHAnsi"/>
        </w:rPr>
        <w:t>who has been granted pre-settled status cannot rely on the EU Charter of Fundamental Rights (‘</w:t>
      </w:r>
      <w:r w:rsidRPr="00907036" w:rsidR="002C44C5">
        <w:rPr>
          <w:rFonts w:asciiTheme="majorHAnsi" w:hAnsiTheme="majorHAnsi" w:cstheme="majorHAnsi"/>
          <w:b/>
          <w:bCs/>
        </w:rPr>
        <w:t xml:space="preserve">the </w:t>
      </w:r>
      <w:r w:rsidRPr="00907036" w:rsidR="007C189F">
        <w:rPr>
          <w:rFonts w:asciiTheme="majorHAnsi" w:hAnsiTheme="majorHAnsi" w:cstheme="majorHAnsi"/>
          <w:b/>
          <w:bCs/>
        </w:rPr>
        <w:t>Charter</w:t>
      </w:r>
      <w:r w:rsidRPr="00907036" w:rsidR="002C44C5">
        <w:rPr>
          <w:rFonts w:asciiTheme="majorHAnsi" w:hAnsiTheme="majorHAnsi" w:cstheme="majorHAnsi"/>
        </w:rPr>
        <w:t>’) to obtain universal credit (‘</w:t>
      </w:r>
      <w:r w:rsidRPr="00907036" w:rsidR="002C44C5">
        <w:rPr>
          <w:rFonts w:asciiTheme="majorHAnsi" w:hAnsiTheme="majorHAnsi" w:cstheme="majorHAnsi"/>
          <w:b/>
          <w:bCs/>
        </w:rPr>
        <w:t>UC</w:t>
      </w:r>
      <w:r w:rsidRPr="00907036" w:rsidR="002C44C5">
        <w:rPr>
          <w:rFonts w:asciiTheme="majorHAnsi" w:hAnsiTheme="majorHAnsi" w:cstheme="majorHAnsi"/>
        </w:rPr>
        <w:t>’) in circumstances where a refusal to grant that benefit would leave them at risk of being without access to sufficient resources to meet their most basic needs</w:t>
      </w:r>
      <w:r w:rsidR="00AE20EC">
        <w:rPr>
          <w:rFonts w:asciiTheme="majorHAnsi" w:hAnsiTheme="majorHAnsi" w:cstheme="majorHAnsi"/>
        </w:rPr>
        <w:t xml:space="preserve"> in conditions of dignity</w:t>
      </w:r>
      <w:r w:rsidRPr="00907036" w:rsidR="002C44C5">
        <w:rPr>
          <w:rFonts w:asciiTheme="majorHAnsi" w:hAnsiTheme="majorHAnsi" w:cstheme="majorHAnsi"/>
        </w:rPr>
        <w:t>.</w:t>
      </w:r>
    </w:p>
    <w:p w:rsidRPr="00AE20EC" w:rsidR="003716B2" w:rsidP="00B45719" w:rsidRDefault="002C44C5" w14:paraId="205F62F9" w14:textId="561EC382">
      <w:pPr>
        <w:pStyle w:val="Standard"/>
        <w:numPr>
          <w:ilvl w:val="0"/>
          <w:numId w:val="11"/>
        </w:numPr>
        <w:tabs>
          <w:tab w:val="left" w:pos="717"/>
        </w:tabs>
        <w:spacing w:before="240" w:line="360" w:lineRule="auto"/>
        <w:jc w:val="both"/>
        <w:rPr>
          <w:rFonts w:asciiTheme="majorHAnsi" w:hAnsiTheme="majorHAnsi" w:cstheme="majorHAnsi"/>
          <w:b/>
          <w:bCs/>
          <w:u w:val="single"/>
        </w:rPr>
      </w:pPr>
      <w:r w:rsidRPr="00907036">
        <w:rPr>
          <w:rFonts w:asciiTheme="majorHAnsi" w:hAnsiTheme="majorHAnsi" w:cstheme="majorHAnsi"/>
        </w:rPr>
        <w:t xml:space="preserve">The present submissions address </w:t>
      </w:r>
      <w:r w:rsidR="00AE20EC">
        <w:rPr>
          <w:rFonts w:asciiTheme="majorHAnsi" w:hAnsiTheme="majorHAnsi" w:cstheme="majorHAnsi"/>
        </w:rPr>
        <w:t xml:space="preserve">only </w:t>
      </w:r>
      <w:r w:rsidRPr="00907036">
        <w:rPr>
          <w:rFonts w:asciiTheme="majorHAnsi" w:hAnsiTheme="majorHAnsi" w:cstheme="majorHAnsi"/>
        </w:rPr>
        <w:t>the point above.</w:t>
      </w:r>
      <w:r w:rsidRPr="00AE20EC" w:rsidR="00AE20EC">
        <w:rPr>
          <w:rFonts w:asciiTheme="majorHAnsi" w:hAnsiTheme="majorHAnsi" w:cstheme="majorHAnsi"/>
        </w:rPr>
        <w:t xml:space="preserve"> </w:t>
      </w:r>
      <w:r w:rsidRPr="00907036" w:rsidR="00AE20EC">
        <w:rPr>
          <w:rFonts w:asciiTheme="majorHAnsi" w:hAnsiTheme="majorHAnsi" w:cstheme="majorHAnsi"/>
        </w:rPr>
        <w:t xml:space="preserve">The Appellant has </w:t>
      </w:r>
      <w:r w:rsidR="00AE20EC">
        <w:rPr>
          <w:rFonts w:asciiTheme="majorHAnsi" w:hAnsiTheme="majorHAnsi" w:cstheme="majorHAnsi"/>
        </w:rPr>
        <w:t>produced</w:t>
      </w:r>
      <w:r w:rsidRPr="00907036" w:rsidR="00AE20EC">
        <w:rPr>
          <w:rFonts w:asciiTheme="majorHAnsi" w:hAnsiTheme="majorHAnsi" w:cstheme="majorHAnsi"/>
        </w:rPr>
        <w:t xml:space="preserve"> separate submissions and evidence on why without UC there would be such a risk</w:t>
      </w:r>
      <w:r w:rsidR="00AE20EC">
        <w:rPr>
          <w:rFonts w:asciiTheme="majorHAnsi" w:hAnsiTheme="majorHAnsi" w:cstheme="majorHAnsi"/>
        </w:rPr>
        <w:t xml:space="preserve"> in their case</w:t>
      </w:r>
      <w:r w:rsidRPr="00907036" w:rsidR="00AE20EC">
        <w:rPr>
          <w:rFonts w:asciiTheme="majorHAnsi" w:hAnsiTheme="majorHAnsi" w:cstheme="majorHAnsi"/>
        </w:rPr>
        <w:t>.</w:t>
      </w:r>
    </w:p>
    <w:p w:rsidRPr="00907036" w:rsidR="006C4D20" w:rsidP="004019BA" w:rsidRDefault="006C4D20" w14:paraId="7A2E5DEC" w14:textId="38D8D957">
      <w:pPr>
        <w:pStyle w:val="Standard"/>
        <w:tabs>
          <w:tab w:val="left" w:pos="717"/>
        </w:tabs>
        <w:spacing w:before="240" w:line="360" w:lineRule="auto"/>
        <w:jc w:val="both"/>
        <w:rPr>
          <w:rFonts w:asciiTheme="majorHAnsi" w:hAnsiTheme="majorHAnsi" w:cstheme="majorHAnsi"/>
          <w:b/>
          <w:bCs/>
          <w:u w:val="single"/>
        </w:rPr>
      </w:pPr>
      <w:r w:rsidRPr="00907036">
        <w:rPr>
          <w:rFonts w:asciiTheme="majorHAnsi" w:hAnsiTheme="majorHAnsi" w:cstheme="majorHAnsi"/>
          <w:b/>
          <w:bCs/>
          <w:u w:val="single"/>
        </w:rPr>
        <w:t xml:space="preserve">The Respondent’s case on </w:t>
      </w:r>
      <w:r w:rsidR="00187727">
        <w:rPr>
          <w:rFonts w:asciiTheme="majorHAnsi" w:hAnsiTheme="majorHAnsi" w:cstheme="majorHAnsi"/>
          <w:b/>
          <w:bCs/>
          <w:u w:val="single"/>
        </w:rPr>
        <w:t xml:space="preserve">the </w:t>
      </w:r>
      <w:r w:rsidRPr="00907036" w:rsidR="00187727">
        <w:rPr>
          <w:rFonts w:asciiTheme="majorHAnsi" w:hAnsiTheme="majorHAnsi" w:cstheme="majorHAnsi"/>
          <w:b/>
          <w:bCs/>
          <w:u w:val="single"/>
        </w:rPr>
        <w:t>C</w:t>
      </w:r>
      <w:r w:rsidR="00187727">
        <w:rPr>
          <w:rFonts w:asciiTheme="majorHAnsi" w:hAnsiTheme="majorHAnsi" w:cstheme="majorHAnsi"/>
          <w:b/>
          <w:bCs/>
          <w:u w:val="single"/>
        </w:rPr>
        <w:t>harter</w:t>
      </w:r>
      <w:r w:rsidRPr="00907036" w:rsidR="00187727">
        <w:rPr>
          <w:rFonts w:asciiTheme="majorHAnsi" w:hAnsiTheme="majorHAnsi" w:cstheme="majorHAnsi"/>
          <w:b/>
          <w:bCs/>
          <w:u w:val="single"/>
        </w:rPr>
        <w:t xml:space="preserve"> </w:t>
      </w:r>
      <w:r w:rsidRPr="00907036">
        <w:rPr>
          <w:rFonts w:asciiTheme="majorHAnsi" w:hAnsiTheme="majorHAnsi" w:cstheme="majorHAnsi"/>
          <w:b/>
          <w:bCs/>
          <w:u w:val="single"/>
        </w:rPr>
        <w:t xml:space="preserve">and </w:t>
      </w:r>
      <w:r w:rsidR="00B45719">
        <w:rPr>
          <w:rFonts w:asciiTheme="majorHAnsi" w:hAnsiTheme="majorHAnsi" w:cstheme="majorHAnsi"/>
          <w:b/>
          <w:bCs/>
          <w:u w:val="single"/>
        </w:rPr>
        <w:t>TCNs</w:t>
      </w:r>
    </w:p>
    <w:p w:rsidRPr="00907036" w:rsidR="002C44C5" w:rsidP="004019BA" w:rsidRDefault="002C44C5" w14:paraId="15F29533" w14:textId="07E873EA">
      <w:pPr>
        <w:pStyle w:val="Standard"/>
        <w:numPr>
          <w:ilvl w:val="0"/>
          <w:numId w:val="11"/>
        </w:numPr>
        <w:tabs>
          <w:tab w:val="left" w:pos="717"/>
        </w:tabs>
        <w:spacing w:before="240" w:line="360" w:lineRule="auto"/>
        <w:jc w:val="both"/>
        <w:rPr>
          <w:rFonts w:asciiTheme="majorHAnsi" w:hAnsiTheme="majorHAnsi" w:cstheme="majorHAnsi"/>
        </w:rPr>
      </w:pPr>
      <w:r w:rsidRPr="00907036">
        <w:rPr>
          <w:rFonts w:asciiTheme="majorHAnsi" w:hAnsiTheme="majorHAnsi" w:cstheme="majorHAnsi"/>
        </w:rPr>
        <w:t>Thus far, the Respondent has simply asserted</w:t>
      </w:r>
      <w:r w:rsidR="00AE20EC">
        <w:rPr>
          <w:rFonts w:asciiTheme="majorHAnsi" w:hAnsiTheme="majorHAnsi" w:cstheme="majorHAnsi"/>
        </w:rPr>
        <w:t>, without reasons,</w:t>
      </w:r>
      <w:r w:rsidRPr="00907036">
        <w:rPr>
          <w:rFonts w:asciiTheme="majorHAnsi" w:hAnsiTheme="majorHAnsi" w:cstheme="majorHAnsi"/>
        </w:rPr>
        <w:t xml:space="preserve"> that a </w:t>
      </w:r>
      <w:r w:rsidR="00B45719">
        <w:rPr>
          <w:rFonts w:asciiTheme="majorHAnsi" w:hAnsiTheme="majorHAnsi" w:cstheme="majorHAnsi"/>
        </w:rPr>
        <w:t>TCN</w:t>
      </w:r>
      <w:r w:rsidRPr="00907036">
        <w:rPr>
          <w:rFonts w:asciiTheme="majorHAnsi" w:hAnsiTheme="majorHAnsi" w:cstheme="majorHAnsi"/>
        </w:rPr>
        <w:t xml:space="preserve"> with PSS cannot rely on the </w:t>
      </w:r>
      <w:r w:rsidRPr="00907036" w:rsidR="007C189F">
        <w:rPr>
          <w:rFonts w:asciiTheme="majorHAnsi" w:hAnsiTheme="majorHAnsi" w:cstheme="majorHAnsi"/>
        </w:rPr>
        <w:t>Charter</w:t>
      </w:r>
      <w:r w:rsidRPr="00907036">
        <w:rPr>
          <w:rFonts w:asciiTheme="majorHAnsi" w:hAnsiTheme="majorHAnsi" w:cstheme="majorHAnsi"/>
        </w:rPr>
        <w:t>. The failure to provide any reasons for that position does not assist the First-tier Tribunal to deal with the case fairly and justly. It also puts the Appellant in a position where he/she is required to answer a case against her that has not been made but merely asserted.</w:t>
      </w:r>
    </w:p>
    <w:p w:rsidRPr="00907036" w:rsidR="002C44C5" w:rsidP="004019BA" w:rsidRDefault="006C4D20" w14:paraId="74C13D5D" w14:textId="122DE317">
      <w:pPr>
        <w:pStyle w:val="Standard"/>
        <w:numPr>
          <w:ilvl w:val="0"/>
          <w:numId w:val="11"/>
        </w:numPr>
        <w:tabs>
          <w:tab w:val="left" w:pos="717"/>
        </w:tabs>
        <w:spacing w:before="240" w:line="360" w:lineRule="auto"/>
        <w:jc w:val="both"/>
        <w:rPr>
          <w:rFonts w:asciiTheme="majorHAnsi" w:hAnsiTheme="majorHAnsi" w:cstheme="majorHAnsi"/>
        </w:rPr>
      </w:pPr>
      <w:r w:rsidRPr="00907036">
        <w:rPr>
          <w:rFonts w:asciiTheme="majorHAnsi" w:hAnsiTheme="majorHAnsi" w:cstheme="majorHAnsi"/>
        </w:rPr>
        <w:t>The Respondent’s position is however consistent with guidance issued to his decision makers</w:t>
      </w:r>
      <w:r w:rsidR="00C91E2F">
        <w:rPr>
          <w:rFonts w:asciiTheme="majorHAnsi" w:hAnsiTheme="majorHAnsi" w:cstheme="majorHAnsi"/>
        </w:rPr>
        <w:t>,</w:t>
      </w:r>
      <w:r w:rsidRPr="00907036" w:rsidR="00CC39A1">
        <w:rPr>
          <w:rStyle w:val="FootnoteReference"/>
          <w:rFonts w:asciiTheme="majorHAnsi" w:hAnsiTheme="majorHAnsi" w:cstheme="majorHAnsi"/>
        </w:rPr>
        <w:footnoteReference w:id="1"/>
      </w:r>
      <w:r w:rsidR="00C91E2F">
        <w:rPr>
          <w:rFonts w:asciiTheme="majorHAnsi" w:hAnsiTheme="majorHAnsi" w:cstheme="majorHAnsi"/>
        </w:rPr>
        <w:t xml:space="preserve"> and therefore appears to represent a consistent policy approach</w:t>
      </w:r>
      <w:r w:rsidRPr="00907036">
        <w:rPr>
          <w:rFonts w:asciiTheme="majorHAnsi" w:hAnsiTheme="majorHAnsi" w:cstheme="majorHAnsi"/>
        </w:rPr>
        <w:t xml:space="preserve">. That guidance, obtained via a Freedom of Information Act request was titled: </w:t>
      </w:r>
      <w:r w:rsidRPr="00907036">
        <w:rPr>
          <w:rFonts w:asciiTheme="majorHAnsi" w:hAnsiTheme="majorHAnsi" w:cstheme="majorHAnsi"/>
          <w:i/>
          <w:iCs/>
          <w:u w:val="single"/>
        </w:rPr>
        <w:t>AT Charter Instructions – Decision Making Steps</w:t>
      </w:r>
      <w:r w:rsidRPr="00907036">
        <w:rPr>
          <w:rFonts w:asciiTheme="majorHAnsi" w:hAnsiTheme="majorHAnsi" w:cstheme="majorHAnsi"/>
        </w:rPr>
        <w:t xml:space="preserve"> and was issued by DMA Leeds in March 2023</w:t>
      </w:r>
      <w:r w:rsidR="00CC62C8">
        <w:rPr>
          <w:rStyle w:val="FootnoteReference"/>
          <w:rFonts w:asciiTheme="majorHAnsi" w:hAnsiTheme="majorHAnsi" w:cstheme="majorHAnsi"/>
        </w:rPr>
        <w:footnoteReference w:id="2"/>
      </w:r>
      <w:r w:rsidRPr="00907036">
        <w:rPr>
          <w:rFonts w:asciiTheme="majorHAnsi" w:hAnsiTheme="majorHAnsi" w:cstheme="majorHAnsi"/>
        </w:rPr>
        <w:t>. It included at §5:</w:t>
      </w:r>
    </w:p>
    <w:p w:rsidRPr="00907036" w:rsidR="006C4D20" w:rsidP="0065423A" w:rsidRDefault="006C4D20" w14:paraId="65A2AEE3" w14:textId="43BBB6D4">
      <w:pPr>
        <w:pStyle w:val="Standard"/>
        <w:tabs>
          <w:tab w:val="left" w:pos="717"/>
        </w:tabs>
        <w:spacing w:before="240"/>
        <w:ind w:left="1418"/>
        <w:jc w:val="both"/>
        <w:rPr>
          <w:rFonts w:asciiTheme="majorHAnsi" w:hAnsiTheme="majorHAnsi" w:cstheme="majorHAnsi"/>
        </w:rPr>
      </w:pPr>
      <w:r w:rsidRPr="00907036">
        <w:rPr>
          <w:rFonts w:asciiTheme="majorHAnsi" w:hAnsiTheme="majorHAnsi" w:cstheme="majorHAnsi"/>
        </w:rPr>
        <w:t xml:space="preserve">5. For claimants </w:t>
      </w:r>
      <w:r w:rsidRPr="00907036">
        <w:rPr>
          <w:rFonts w:asciiTheme="majorHAnsi" w:hAnsiTheme="majorHAnsi" w:cstheme="majorHAnsi"/>
          <w:b/>
          <w:bCs/>
        </w:rPr>
        <w:t>with Pre-Settled Status who are found not to meet the HRT</w:t>
      </w:r>
      <w:r w:rsidRPr="00907036">
        <w:rPr>
          <w:rFonts w:asciiTheme="majorHAnsi" w:hAnsiTheme="majorHAnsi" w:cstheme="majorHAnsi"/>
        </w:rPr>
        <w:t>, they should be managed as follows:</w:t>
      </w:r>
    </w:p>
    <w:p w:rsidRPr="00907036" w:rsidR="006C4D20" w:rsidP="0065423A" w:rsidRDefault="006C4D20" w14:paraId="2D1C35CC" w14:textId="77777777">
      <w:pPr>
        <w:pStyle w:val="Standard"/>
        <w:tabs>
          <w:tab w:val="left" w:pos="717"/>
        </w:tabs>
        <w:spacing w:before="240"/>
        <w:ind w:left="1418"/>
        <w:jc w:val="both"/>
        <w:rPr>
          <w:rFonts w:asciiTheme="majorHAnsi" w:hAnsiTheme="majorHAnsi" w:cstheme="majorHAnsi"/>
        </w:rPr>
      </w:pPr>
      <w:r w:rsidRPr="00907036">
        <w:rPr>
          <w:rFonts w:asciiTheme="majorHAnsi" w:hAnsiTheme="majorHAnsi" w:cstheme="majorHAnsi"/>
          <w:b/>
          <w:bCs/>
        </w:rPr>
        <w:t>(1)</w:t>
      </w:r>
      <w:r w:rsidRPr="00907036">
        <w:rPr>
          <w:rFonts w:asciiTheme="majorHAnsi" w:hAnsiTheme="majorHAnsi" w:cstheme="majorHAnsi"/>
        </w:rPr>
        <w:t xml:space="preserve"> </w:t>
      </w:r>
      <w:r w:rsidRPr="00907036">
        <w:rPr>
          <w:rFonts w:asciiTheme="majorHAnsi" w:hAnsiTheme="majorHAnsi" w:cstheme="majorHAnsi"/>
          <w:u w:val="single"/>
        </w:rPr>
        <w:t xml:space="preserve">The case of AT </w:t>
      </w:r>
      <w:r w:rsidRPr="00907036">
        <w:rPr>
          <w:rFonts w:asciiTheme="majorHAnsi" w:hAnsiTheme="majorHAnsi" w:cstheme="majorHAnsi"/>
          <w:b/>
          <w:bCs/>
          <w:u w:val="single"/>
        </w:rPr>
        <w:t>does not</w:t>
      </w:r>
      <w:r w:rsidRPr="00907036">
        <w:rPr>
          <w:rFonts w:asciiTheme="majorHAnsi" w:hAnsiTheme="majorHAnsi" w:cstheme="majorHAnsi"/>
          <w:u w:val="single"/>
        </w:rPr>
        <w:t xml:space="preserve"> apply, and the claim proceeds for HRT refusal for:</w:t>
      </w:r>
    </w:p>
    <w:p w:rsidRPr="00907036" w:rsidR="006C4D20" w:rsidP="0065423A" w:rsidRDefault="006C4D20" w14:paraId="3502F93E" w14:textId="0BABE7B8">
      <w:pPr>
        <w:pStyle w:val="Standard"/>
        <w:tabs>
          <w:tab w:val="left" w:pos="717"/>
        </w:tabs>
        <w:spacing w:before="240"/>
        <w:ind w:left="1418"/>
        <w:jc w:val="both"/>
        <w:rPr>
          <w:rFonts w:asciiTheme="majorHAnsi" w:hAnsiTheme="majorHAnsi" w:cstheme="majorHAnsi"/>
        </w:rPr>
      </w:pPr>
      <w:r w:rsidRPr="00907036">
        <w:rPr>
          <w:rFonts w:asciiTheme="majorHAnsi" w:hAnsiTheme="majorHAnsi" w:cstheme="majorHAnsi"/>
        </w:rPr>
        <w:t>[…]</w:t>
      </w:r>
    </w:p>
    <w:p w:rsidRPr="00907036" w:rsidR="006C4D20" w:rsidP="0065423A" w:rsidRDefault="006C4D20" w14:paraId="7E609F3F" w14:textId="5E2C3946">
      <w:pPr>
        <w:pStyle w:val="Standard"/>
        <w:tabs>
          <w:tab w:val="left" w:pos="717"/>
        </w:tabs>
        <w:spacing w:before="240"/>
        <w:ind w:left="1418"/>
        <w:jc w:val="both"/>
        <w:rPr>
          <w:rFonts w:asciiTheme="majorHAnsi" w:hAnsiTheme="majorHAnsi" w:cstheme="majorHAnsi"/>
        </w:rPr>
      </w:pPr>
      <w:r w:rsidRPr="00907036">
        <w:rPr>
          <w:rFonts w:asciiTheme="majorHAnsi" w:hAnsiTheme="majorHAnsi" w:cstheme="majorHAnsi"/>
        </w:rPr>
        <w:t>ii. Claimants who are non-EU national claimants, including those from Norway, Iceland, Liechtenstein and Switzerland; or</w:t>
      </w:r>
    </w:p>
    <w:p w:rsidRPr="00C91E2F" w:rsidR="003716B2" w:rsidP="00B45719" w:rsidRDefault="008F0E07" w14:paraId="119196E8" w14:textId="0C82FC76">
      <w:pPr>
        <w:pStyle w:val="Standard"/>
        <w:numPr>
          <w:ilvl w:val="0"/>
          <w:numId w:val="11"/>
        </w:numPr>
        <w:tabs>
          <w:tab w:val="left" w:pos="717"/>
        </w:tabs>
        <w:spacing w:before="240" w:line="360" w:lineRule="auto"/>
        <w:jc w:val="both"/>
        <w:rPr>
          <w:rFonts w:asciiTheme="majorHAnsi" w:hAnsiTheme="majorHAnsi" w:cstheme="majorHAnsi"/>
          <w:b/>
          <w:bCs/>
          <w:u w:val="single"/>
        </w:rPr>
      </w:pPr>
      <w:r w:rsidRPr="00907036">
        <w:rPr>
          <w:rFonts w:asciiTheme="majorHAnsi" w:hAnsiTheme="majorHAnsi" w:cstheme="majorHAnsi"/>
        </w:rPr>
        <w:t xml:space="preserve">That guidance </w:t>
      </w:r>
      <w:r w:rsidR="00731736">
        <w:rPr>
          <w:rFonts w:asciiTheme="majorHAnsi" w:hAnsiTheme="majorHAnsi" w:cstheme="majorHAnsi"/>
        </w:rPr>
        <w:t>is</w:t>
      </w:r>
      <w:r w:rsidRPr="00907036">
        <w:rPr>
          <w:rFonts w:asciiTheme="majorHAnsi" w:hAnsiTheme="majorHAnsi" w:cstheme="majorHAnsi"/>
        </w:rPr>
        <w:t xml:space="preserve"> also </w:t>
      </w:r>
      <w:r w:rsidR="00C91E2F">
        <w:rPr>
          <w:rFonts w:asciiTheme="majorHAnsi" w:hAnsiTheme="majorHAnsi" w:cstheme="majorHAnsi"/>
        </w:rPr>
        <w:t>bare</w:t>
      </w:r>
      <w:r w:rsidRPr="00907036" w:rsidR="00C91E2F">
        <w:rPr>
          <w:rFonts w:asciiTheme="majorHAnsi" w:hAnsiTheme="majorHAnsi" w:cstheme="majorHAnsi"/>
        </w:rPr>
        <w:t xml:space="preserve"> </w:t>
      </w:r>
      <w:r w:rsidRPr="00907036">
        <w:rPr>
          <w:rFonts w:asciiTheme="majorHAnsi" w:hAnsiTheme="majorHAnsi" w:cstheme="majorHAnsi"/>
        </w:rPr>
        <w:t xml:space="preserve">assertion – no authority or argument is cited for the proposition it contains. That is not surprising </w:t>
      </w:r>
      <w:r w:rsidR="00C91E2F">
        <w:rPr>
          <w:rFonts w:asciiTheme="majorHAnsi" w:hAnsiTheme="majorHAnsi" w:cstheme="majorHAnsi"/>
        </w:rPr>
        <w:t>because</w:t>
      </w:r>
      <w:r w:rsidRPr="00907036">
        <w:rPr>
          <w:rFonts w:asciiTheme="majorHAnsi" w:hAnsiTheme="majorHAnsi" w:cstheme="majorHAnsi"/>
        </w:rPr>
        <w:t>, as explained below, there is no credible argument that could be made by the Respondent on this point.</w:t>
      </w:r>
    </w:p>
    <w:p w:rsidRPr="00907036" w:rsidR="003716B2" w:rsidP="004019BA" w:rsidRDefault="003716B2" w14:paraId="7A975128" w14:textId="124781A9">
      <w:pPr>
        <w:pStyle w:val="Standard"/>
        <w:tabs>
          <w:tab w:val="left" w:pos="717"/>
        </w:tabs>
        <w:spacing w:before="240" w:line="360" w:lineRule="auto"/>
        <w:jc w:val="both"/>
        <w:rPr>
          <w:rFonts w:asciiTheme="majorHAnsi" w:hAnsiTheme="majorHAnsi" w:cstheme="majorHAnsi"/>
          <w:b/>
          <w:bCs/>
          <w:u w:val="single"/>
        </w:rPr>
      </w:pPr>
      <w:r w:rsidRPr="00907036">
        <w:rPr>
          <w:rFonts w:asciiTheme="majorHAnsi" w:hAnsiTheme="majorHAnsi" w:cstheme="majorHAnsi"/>
          <w:b/>
          <w:bCs/>
          <w:u w:val="single"/>
        </w:rPr>
        <w:t xml:space="preserve">Respondent should not be given further opportunity to explain position on </w:t>
      </w:r>
      <w:r w:rsidR="00B45719">
        <w:rPr>
          <w:rFonts w:asciiTheme="majorHAnsi" w:hAnsiTheme="majorHAnsi" w:cstheme="majorHAnsi"/>
          <w:b/>
          <w:bCs/>
          <w:u w:val="single"/>
        </w:rPr>
        <w:t>TCNs</w:t>
      </w:r>
    </w:p>
    <w:p w:rsidRPr="00907036" w:rsidR="00887240" w:rsidP="004019BA" w:rsidRDefault="008F0E07" w14:paraId="29006277" w14:textId="11B227E1">
      <w:pPr>
        <w:pStyle w:val="Standard"/>
        <w:numPr>
          <w:ilvl w:val="0"/>
          <w:numId w:val="11"/>
        </w:numPr>
        <w:tabs>
          <w:tab w:val="left" w:pos="717"/>
        </w:tabs>
        <w:spacing w:before="240" w:line="360" w:lineRule="auto"/>
        <w:jc w:val="both"/>
        <w:rPr>
          <w:rFonts w:asciiTheme="majorHAnsi" w:hAnsiTheme="majorHAnsi" w:cstheme="majorHAnsi"/>
        </w:rPr>
      </w:pPr>
      <w:r w:rsidRPr="00907036">
        <w:rPr>
          <w:rFonts w:asciiTheme="majorHAnsi" w:hAnsiTheme="majorHAnsi" w:cstheme="majorHAnsi"/>
        </w:rPr>
        <w:t xml:space="preserve">The Respondent has chosen not to provide any reasons for his position. </w:t>
      </w:r>
      <w:r w:rsidRPr="00907036" w:rsidR="00C91E2F">
        <w:rPr>
          <w:rFonts w:asciiTheme="majorHAnsi" w:hAnsiTheme="majorHAnsi" w:cstheme="majorHAnsi"/>
        </w:rPr>
        <w:t xml:space="preserve">The Appellant </w:t>
      </w:r>
      <w:r w:rsidR="00C91E2F">
        <w:rPr>
          <w:rFonts w:asciiTheme="majorHAnsi" w:hAnsiTheme="majorHAnsi" w:cstheme="majorHAnsi"/>
        </w:rPr>
        <w:t xml:space="preserve">explains below why </w:t>
      </w:r>
      <w:r w:rsidR="00282FE8">
        <w:rPr>
          <w:rFonts w:asciiTheme="majorHAnsi" w:hAnsiTheme="majorHAnsi" w:cstheme="majorHAnsi"/>
        </w:rPr>
        <w:t>that position is</w:t>
      </w:r>
      <w:r w:rsidRPr="00907036" w:rsidR="00C91E2F">
        <w:rPr>
          <w:rFonts w:asciiTheme="majorHAnsi" w:hAnsiTheme="majorHAnsi" w:cstheme="majorHAnsi"/>
        </w:rPr>
        <w:t xml:space="preserve"> wrong. </w:t>
      </w:r>
      <w:r w:rsidRPr="00907036">
        <w:rPr>
          <w:rFonts w:asciiTheme="majorHAnsi" w:hAnsiTheme="majorHAnsi" w:cstheme="majorHAnsi"/>
        </w:rPr>
        <w:t xml:space="preserve">As is apparent from the Appellant’s witness evidence there is an ongoing risk that the Appellant’s fundamental rights may be or are being breached by the failure to award UC. Given all of that, </w:t>
      </w:r>
      <w:r w:rsidR="00C91E2F">
        <w:rPr>
          <w:rFonts w:asciiTheme="majorHAnsi" w:hAnsiTheme="majorHAnsi" w:cstheme="majorHAnsi"/>
        </w:rPr>
        <w:t>the Appellant’s primary submission is that the</w:t>
      </w:r>
      <w:r w:rsidRPr="00907036">
        <w:rPr>
          <w:rFonts w:asciiTheme="majorHAnsi" w:hAnsiTheme="majorHAnsi" w:cstheme="majorHAnsi"/>
        </w:rPr>
        <w:t xml:space="preserve"> First-tier Tribunal </w:t>
      </w:r>
      <w:r w:rsidR="00C91E2F">
        <w:rPr>
          <w:rFonts w:asciiTheme="majorHAnsi" w:hAnsiTheme="majorHAnsi" w:cstheme="majorHAnsi"/>
        </w:rPr>
        <w:t>should</w:t>
      </w:r>
      <w:r w:rsidRPr="00907036">
        <w:rPr>
          <w:rFonts w:asciiTheme="majorHAnsi" w:hAnsiTheme="majorHAnsi" w:cstheme="majorHAnsi"/>
        </w:rPr>
        <w:t xml:space="preserve"> simply accept the Appellant’s case on this point</w:t>
      </w:r>
      <w:r w:rsidR="00C91E2F">
        <w:rPr>
          <w:rFonts w:asciiTheme="majorHAnsi" w:hAnsiTheme="majorHAnsi" w:cstheme="majorHAnsi"/>
        </w:rPr>
        <w:t>,</w:t>
      </w:r>
      <w:r w:rsidRPr="00907036">
        <w:rPr>
          <w:rFonts w:asciiTheme="majorHAnsi" w:hAnsiTheme="majorHAnsi" w:cstheme="majorHAnsi"/>
        </w:rPr>
        <w:t xml:space="preserve"> as hers is the only </w:t>
      </w:r>
      <w:r w:rsidR="00C91E2F">
        <w:rPr>
          <w:rFonts w:asciiTheme="majorHAnsi" w:hAnsiTheme="majorHAnsi" w:cstheme="majorHAnsi"/>
        </w:rPr>
        <w:t>reasoned</w:t>
      </w:r>
      <w:r w:rsidRPr="00907036" w:rsidR="00C91E2F">
        <w:rPr>
          <w:rFonts w:asciiTheme="majorHAnsi" w:hAnsiTheme="majorHAnsi" w:cstheme="majorHAnsi"/>
        </w:rPr>
        <w:t xml:space="preserve"> </w:t>
      </w:r>
      <w:r w:rsidRPr="00907036">
        <w:rPr>
          <w:rFonts w:asciiTheme="majorHAnsi" w:hAnsiTheme="majorHAnsi" w:cstheme="majorHAnsi"/>
        </w:rPr>
        <w:t>argument that has been presented on it. Rule 24(2)(e) of the Tribunal Procedure (First-tier Tribunal)</w:t>
      </w:r>
      <w:r w:rsidRPr="00907036" w:rsidR="008F6475">
        <w:rPr>
          <w:rFonts w:asciiTheme="majorHAnsi" w:hAnsiTheme="majorHAnsi" w:cstheme="majorHAnsi"/>
        </w:rPr>
        <w:t xml:space="preserve"> </w:t>
      </w:r>
      <w:r w:rsidRPr="00907036">
        <w:rPr>
          <w:rFonts w:asciiTheme="majorHAnsi" w:hAnsiTheme="majorHAnsi" w:cstheme="majorHAnsi"/>
        </w:rPr>
        <w:t xml:space="preserve">(Social Entitlement Chamber) Rules 2008 requires the Respondent to state in the response to the appeal “whether the decision maker opposes the appellant’s case and, if so, any grounds for such opposition”. The Respondent has had that opportunity and </w:t>
      </w:r>
      <w:r w:rsidR="002555BB">
        <w:rPr>
          <w:rFonts w:asciiTheme="majorHAnsi" w:hAnsiTheme="majorHAnsi" w:cstheme="majorHAnsi"/>
        </w:rPr>
        <w:t xml:space="preserve">has </w:t>
      </w:r>
      <w:r w:rsidRPr="00907036">
        <w:rPr>
          <w:rFonts w:asciiTheme="majorHAnsi" w:hAnsiTheme="majorHAnsi" w:cstheme="majorHAnsi"/>
        </w:rPr>
        <w:t xml:space="preserve">not availed himself of it. </w:t>
      </w:r>
    </w:p>
    <w:p w:rsidRPr="00907036" w:rsidR="008F0E07" w:rsidP="004019BA" w:rsidRDefault="008F0E07" w14:paraId="2F42FFF1" w14:textId="3A7DFC5F">
      <w:pPr>
        <w:pStyle w:val="Standard"/>
        <w:numPr>
          <w:ilvl w:val="0"/>
          <w:numId w:val="11"/>
        </w:numPr>
        <w:tabs>
          <w:tab w:val="left" w:pos="717"/>
        </w:tabs>
        <w:spacing w:before="240" w:line="360" w:lineRule="auto"/>
        <w:jc w:val="both"/>
        <w:rPr>
          <w:rFonts w:asciiTheme="majorHAnsi" w:hAnsiTheme="majorHAnsi" w:cstheme="majorHAnsi"/>
        </w:rPr>
      </w:pPr>
      <w:r w:rsidRPr="00907036">
        <w:rPr>
          <w:rFonts w:asciiTheme="majorHAnsi" w:hAnsiTheme="majorHAnsi" w:cstheme="majorHAnsi"/>
        </w:rPr>
        <w:t xml:space="preserve">The nature of the rights in this case </w:t>
      </w:r>
      <w:r w:rsidRPr="00907036" w:rsidR="00887240">
        <w:rPr>
          <w:rFonts w:asciiTheme="majorHAnsi" w:hAnsiTheme="majorHAnsi" w:cstheme="majorHAnsi"/>
        </w:rPr>
        <w:t xml:space="preserve">(risk of breach of fundamental rights under the Charter) </w:t>
      </w:r>
      <w:r w:rsidRPr="00907036">
        <w:rPr>
          <w:rFonts w:asciiTheme="majorHAnsi" w:hAnsiTheme="majorHAnsi" w:cstheme="majorHAnsi"/>
        </w:rPr>
        <w:t xml:space="preserve">indicate it would be </w:t>
      </w:r>
      <w:r w:rsidR="00282FE8">
        <w:rPr>
          <w:rFonts w:asciiTheme="majorHAnsi" w:hAnsiTheme="majorHAnsi" w:cstheme="majorHAnsi"/>
        </w:rPr>
        <w:t>un</w:t>
      </w:r>
      <w:r w:rsidRPr="00907036">
        <w:rPr>
          <w:rFonts w:asciiTheme="majorHAnsi" w:hAnsiTheme="majorHAnsi" w:cstheme="majorHAnsi"/>
        </w:rPr>
        <w:t xml:space="preserve">fair to introduce more delay to </w:t>
      </w:r>
      <w:r w:rsidR="00282FE8">
        <w:rPr>
          <w:rFonts w:asciiTheme="majorHAnsi" w:hAnsiTheme="majorHAnsi" w:cstheme="majorHAnsi"/>
        </w:rPr>
        <w:t>invite further submissions from</w:t>
      </w:r>
      <w:r w:rsidRPr="00907036" w:rsidR="00282FE8">
        <w:rPr>
          <w:rFonts w:asciiTheme="majorHAnsi" w:hAnsiTheme="majorHAnsi" w:cstheme="majorHAnsi"/>
        </w:rPr>
        <w:t xml:space="preserve"> </w:t>
      </w:r>
      <w:r w:rsidRPr="00907036">
        <w:rPr>
          <w:rFonts w:asciiTheme="majorHAnsi" w:hAnsiTheme="majorHAnsi" w:cstheme="majorHAnsi"/>
        </w:rPr>
        <w:t>the Respondent.</w:t>
      </w:r>
      <w:r w:rsidRPr="00907036" w:rsidR="00887240">
        <w:rPr>
          <w:rFonts w:asciiTheme="majorHAnsi" w:hAnsiTheme="majorHAnsi" w:cstheme="majorHAnsi"/>
        </w:rPr>
        <w:t xml:space="preserve"> </w:t>
      </w:r>
      <w:r w:rsidR="00282FE8">
        <w:rPr>
          <w:rFonts w:asciiTheme="majorHAnsi" w:hAnsiTheme="majorHAnsi" w:cstheme="majorHAnsi"/>
        </w:rPr>
        <w:t>It would also violate</w:t>
      </w:r>
      <w:r w:rsidRPr="00907036" w:rsidR="00887240">
        <w:rPr>
          <w:rFonts w:asciiTheme="majorHAnsi" w:hAnsiTheme="majorHAnsi" w:cstheme="majorHAnsi"/>
        </w:rPr>
        <w:t xml:space="preserve"> </w:t>
      </w:r>
      <w:r w:rsidRPr="00907036" w:rsidR="00CE65E9">
        <w:rPr>
          <w:rFonts w:asciiTheme="majorHAnsi" w:hAnsiTheme="majorHAnsi" w:cstheme="majorHAnsi"/>
        </w:rPr>
        <w:t>article 47 of that Charter</w:t>
      </w:r>
      <w:r w:rsidR="00282FE8">
        <w:rPr>
          <w:rFonts w:asciiTheme="majorHAnsi" w:hAnsiTheme="majorHAnsi" w:cstheme="majorHAnsi"/>
        </w:rPr>
        <w:t>, which</w:t>
      </w:r>
      <w:r w:rsidRPr="00907036" w:rsidR="00CE65E9">
        <w:rPr>
          <w:rFonts w:asciiTheme="majorHAnsi" w:hAnsiTheme="majorHAnsi" w:cstheme="majorHAnsi"/>
        </w:rPr>
        <w:t xml:space="preserve"> requires access to a</w:t>
      </w:r>
      <w:r w:rsidRPr="00907036" w:rsidR="00171030">
        <w:rPr>
          <w:rFonts w:asciiTheme="majorHAnsi" w:hAnsiTheme="majorHAnsi" w:cstheme="majorHAnsi"/>
        </w:rPr>
        <w:t>n effective</w:t>
      </w:r>
      <w:r w:rsidRPr="00907036" w:rsidR="00CE65E9">
        <w:rPr>
          <w:rFonts w:asciiTheme="majorHAnsi" w:hAnsiTheme="majorHAnsi" w:cstheme="majorHAnsi"/>
        </w:rPr>
        <w:t xml:space="preserve"> remedy within a reasonable time:</w:t>
      </w:r>
    </w:p>
    <w:p w:rsidRPr="00907036" w:rsidR="006B112D" w:rsidP="006B112D" w:rsidRDefault="006B112D" w14:paraId="05C41644" w14:textId="77777777">
      <w:pPr>
        <w:pStyle w:val="Standard"/>
        <w:tabs>
          <w:tab w:val="left" w:pos="717"/>
        </w:tabs>
        <w:spacing w:before="240"/>
        <w:ind w:left="2127"/>
        <w:jc w:val="center"/>
        <w:rPr>
          <w:rFonts w:asciiTheme="majorHAnsi" w:hAnsiTheme="majorHAnsi" w:cstheme="majorHAnsi"/>
          <w:i/>
          <w:iCs/>
        </w:rPr>
      </w:pPr>
      <w:r w:rsidRPr="00907036">
        <w:rPr>
          <w:rFonts w:asciiTheme="majorHAnsi" w:hAnsiTheme="majorHAnsi" w:cstheme="majorHAnsi"/>
          <w:i/>
          <w:iCs/>
        </w:rPr>
        <w:t>Article 47</w:t>
      </w:r>
    </w:p>
    <w:p w:rsidRPr="00907036" w:rsidR="006B112D" w:rsidP="006B112D" w:rsidRDefault="006B112D" w14:paraId="4E96D358" w14:textId="77777777">
      <w:pPr>
        <w:pStyle w:val="Standard"/>
        <w:tabs>
          <w:tab w:val="left" w:pos="717"/>
        </w:tabs>
        <w:spacing w:before="240"/>
        <w:ind w:left="2127"/>
        <w:jc w:val="center"/>
        <w:rPr>
          <w:rFonts w:asciiTheme="majorHAnsi" w:hAnsiTheme="majorHAnsi" w:cstheme="majorHAnsi"/>
          <w:b/>
          <w:bCs/>
          <w:i/>
          <w:iCs/>
        </w:rPr>
      </w:pPr>
      <w:r w:rsidRPr="00907036">
        <w:rPr>
          <w:rFonts w:asciiTheme="majorHAnsi" w:hAnsiTheme="majorHAnsi" w:cstheme="majorHAnsi"/>
          <w:b/>
          <w:bCs/>
          <w:i/>
          <w:iCs/>
        </w:rPr>
        <w:t>Right to an effective remedy and to a fair trial</w:t>
      </w:r>
    </w:p>
    <w:p w:rsidRPr="00907036" w:rsidR="006B112D" w:rsidP="006B112D" w:rsidRDefault="006B112D" w14:paraId="4B2432A4" w14:textId="7D6CA43B">
      <w:pPr>
        <w:pStyle w:val="Standard"/>
        <w:tabs>
          <w:tab w:val="left" w:pos="717"/>
        </w:tabs>
        <w:spacing w:before="240"/>
        <w:ind w:left="2127"/>
        <w:rPr>
          <w:rFonts w:asciiTheme="majorHAnsi" w:hAnsiTheme="majorHAnsi" w:cstheme="majorHAnsi"/>
        </w:rPr>
      </w:pPr>
      <w:r w:rsidRPr="00907036">
        <w:rPr>
          <w:rFonts w:asciiTheme="majorHAnsi" w:hAnsiTheme="majorHAnsi" w:cstheme="majorHAnsi"/>
        </w:rPr>
        <w:t>Everyone whose rights and freedoms guaranteed by the law of the Union are violated has the right to an effective remedy before a tribunal in compliance with the conditions laid down in this Article.</w:t>
      </w:r>
    </w:p>
    <w:p w:rsidRPr="00907036" w:rsidR="006B112D" w:rsidP="006B112D" w:rsidRDefault="006B112D" w14:paraId="5751621D" w14:textId="7EFB4B3B">
      <w:pPr>
        <w:pStyle w:val="Standard"/>
        <w:tabs>
          <w:tab w:val="left" w:pos="717"/>
        </w:tabs>
        <w:spacing w:before="240"/>
        <w:ind w:left="2127"/>
        <w:rPr>
          <w:rFonts w:asciiTheme="majorHAnsi" w:hAnsiTheme="majorHAnsi" w:cstheme="majorHAnsi"/>
        </w:rPr>
      </w:pPr>
      <w:r w:rsidRPr="00907036">
        <w:rPr>
          <w:rFonts w:asciiTheme="majorHAnsi" w:hAnsiTheme="majorHAnsi" w:cstheme="majorHAnsi"/>
        </w:rPr>
        <w:t>Everyone is entitled to a fair and public hearing within a reasonable time by an independent and impartial tribunal previously established by law. Everyone shall have the possibility of being advised, defended and represented.</w:t>
      </w:r>
    </w:p>
    <w:p w:rsidRPr="00907036" w:rsidR="006B112D" w:rsidP="006B112D" w:rsidRDefault="006B112D" w14:paraId="3677325E" w14:textId="1EFF5E30">
      <w:pPr>
        <w:pStyle w:val="Standard"/>
        <w:tabs>
          <w:tab w:val="left" w:pos="717"/>
        </w:tabs>
        <w:spacing w:before="240"/>
        <w:ind w:left="2127"/>
        <w:rPr>
          <w:rFonts w:asciiTheme="majorHAnsi" w:hAnsiTheme="majorHAnsi" w:cstheme="majorHAnsi"/>
        </w:rPr>
      </w:pPr>
      <w:r w:rsidRPr="00907036">
        <w:rPr>
          <w:rFonts w:asciiTheme="majorHAnsi" w:hAnsiTheme="majorHAnsi" w:cstheme="majorHAnsi"/>
        </w:rPr>
        <w:t>Legal aid shall be made available to those who lack sufficient resources in so far as such aid is necessary to ensure effective access to justice.</w:t>
      </w:r>
    </w:p>
    <w:p w:rsidRPr="00187727" w:rsidR="003716B2" w:rsidP="00B45719" w:rsidRDefault="00404205" w14:paraId="3A7A89FE" w14:textId="1C95EB51">
      <w:pPr>
        <w:pStyle w:val="Standard"/>
        <w:numPr>
          <w:ilvl w:val="0"/>
          <w:numId w:val="11"/>
        </w:numPr>
        <w:tabs>
          <w:tab w:val="left" w:pos="717"/>
        </w:tabs>
        <w:spacing w:before="240" w:line="360" w:lineRule="auto"/>
        <w:jc w:val="both"/>
        <w:rPr>
          <w:rFonts w:asciiTheme="majorHAnsi" w:hAnsiTheme="majorHAnsi" w:cstheme="majorHAnsi"/>
          <w:b/>
          <w:bCs/>
          <w:u w:val="single"/>
        </w:rPr>
      </w:pPr>
      <w:r w:rsidRPr="00907036">
        <w:rPr>
          <w:rFonts w:asciiTheme="majorHAnsi" w:hAnsiTheme="majorHAnsi" w:cstheme="majorHAnsi"/>
        </w:rPr>
        <w:t xml:space="preserve">A “reasonable time” in circumstances where the right in issue is a right to dignity and there is a risk that will be or is being breached, </w:t>
      </w:r>
      <w:r w:rsidR="00282FE8">
        <w:rPr>
          <w:rFonts w:asciiTheme="majorHAnsi" w:hAnsiTheme="majorHAnsi" w:cstheme="majorHAnsi"/>
        </w:rPr>
        <w:t>is necessarily</w:t>
      </w:r>
      <w:r w:rsidRPr="00907036">
        <w:rPr>
          <w:rFonts w:asciiTheme="majorHAnsi" w:hAnsiTheme="majorHAnsi" w:cstheme="majorHAnsi"/>
        </w:rPr>
        <w:t xml:space="preserve"> short</w:t>
      </w:r>
      <w:r w:rsidR="006A2D79">
        <w:rPr>
          <w:rFonts w:asciiTheme="majorHAnsi" w:hAnsiTheme="majorHAnsi" w:cstheme="majorHAnsi"/>
        </w:rPr>
        <w:t xml:space="preserve">- certainly too short to </w:t>
      </w:r>
      <w:r w:rsidR="005C04EA">
        <w:rPr>
          <w:rFonts w:asciiTheme="majorHAnsi" w:hAnsiTheme="majorHAnsi" w:cstheme="majorHAnsi"/>
        </w:rPr>
        <w:t xml:space="preserve">justify giving </w:t>
      </w:r>
      <w:r w:rsidR="006A2D79">
        <w:rPr>
          <w:rFonts w:asciiTheme="majorHAnsi" w:hAnsiTheme="majorHAnsi" w:cstheme="majorHAnsi"/>
        </w:rPr>
        <w:t xml:space="preserve">the Respondent </w:t>
      </w:r>
      <w:r w:rsidR="005C04EA">
        <w:rPr>
          <w:rFonts w:asciiTheme="majorHAnsi" w:hAnsiTheme="majorHAnsi" w:cstheme="majorHAnsi"/>
        </w:rPr>
        <w:t>further time</w:t>
      </w:r>
      <w:r w:rsidR="006A2D79">
        <w:rPr>
          <w:rFonts w:asciiTheme="majorHAnsi" w:hAnsiTheme="majorHAnsi" w:cstheme="majorHAnsi"/>
        </w:rPr>
        <w:t xml:space="preserve"> to deal with a bad point </w:t>
      </w:r>
      <w:r w:rsidR="001374EE">
        <w:rPr>
          <w:rFonts w:asciiTheme="majorHAnsi" w:hAnsiTheme="majorHAnsi" w:cstheme="majorHAnsi"/>
        </w:rPr>
        <w:t>that he has already had an opportunity to deal with</w:t>
      </w:r>
      <w:r w:rsidRPr="00907036">
        <w:rPr>
          <w:rFonts w:asciiTheme="majorHAnsi" w:hAnsiTheme="majorHAnsi" w:cstheme="majorHAnsi"/>
        </w:rPr>
        <w:t>.</w:t>
      </w:r>
    </w:p>
    <w:p w:rsidRPr="00907036" w:rsidR="006C4D20" w:rsidP="004019BA" w:rsidRDefault="003716B2" w14:paraId="798A4CD1" w14:textId="36C9C951">
      <w:pPr>
        <w:pStyle w:val="Standard"/>
        <w:tabs>
          <w:tab w:val="left" w:pos="717"/>
        </w:tabs>
        <w:spacing w:before="240" w:line="360" w:lineRule="auto"/>
        <w:jc w:val="both"/>
        <w:rPr>
          <w:rFonts w:asciiTheme="majorHAnsi" w:hAnsiTheme="majorHAnsi" w:cstheme="majorHAnsi"/>
          <w:b/>
          <w:bCs/>
          <w:u w:val="single"/>
        </w:rPr>
      </w:pPr>
      <w:proofErr w:type="spellStart"/>
      <w:r w:rsidRPr="00907036">
        <w:rPr>
          <w:rFonts w:asciiTheme="majorHAnsi" w:hAnsiTheme="majorHAnsi" w:cstheme="majorHAnsi"/>
          <w:b/>
          <w:bCs/>
          <w:u w:val="single"/>
        </w:rPr>
        <w:t>Non EU</w:t>
      </w:r>
      <w:proofErr w:type="spellEnd"/>
      <w:r w:rsidRPr="00907036">
        <w:rPr>
          <w:rFonts w:asciiTheme="majorHAnsi" w:hAnsiTheme="majorHAnsi" w:cstheme="majorHAnsi"/>
          <w:b/>
          <w:bCs/>
          <w:u w:val="single"/>
        </w:rPr>
        <w:t xml:space="preserve"> nationals with PSS can rely on </w:t>
      </w:r>
      <w:r w:rsidRPr="00907036" w:rsidR="007C189F">
        <w:rPr>
          <w:rFonts w:asciiTheme="majorHAnsi" w:hAnsiTheme="majorHAnsi" w:cstheme="majorHAnsi"/>
          <w:b/>
          <w:bCs/>
          <w:u w:val="single"/>
        </w:rPr>
        <w:t>C</w:t>
      </w:r>
      <w:r w:rsidRPr="00907036" w:rsidR="00A46696">
        <w:rPr>
          <w:rFonts w:asciiTheme="majorHAnsi" w:hAnsiTheme="majorHAnsi" w:cstheme="majorHAnsi"/>
          <w:b/>
          <w:bCs/>
          <w:u w:val="single"/>
        </w:rPr>
        <w:t>harter</w:t>
      </w:r>
    </w:p>
    <w:p w:rsidRPr="00907036" w:rsidR="00485B3B" w:rsidP="00485B3B" w:rsidRDefault="00485B3B" w14:paraId="7E5CABC1" w14:textId="29DCC6CA">
      <w:pPr>
        <w:pStyle w:val="Standard"/>
        <w:tabs>
          <w:tab w:val="left" w:pos="717"/>
        </w:tabs>
        <w:spacing w:before="240" w:line="360" w:lineRule="auto"/>
        <w:jc w:val="both"/>
        <w:rPr>
          <w:rFonts w:asciiTheme="majorHAnsi" w:hAnsiTheme="majorHAnsi" w:cstheme="majorHAnsi"/>
          <w:i/>
          <w:iCs/>
        </w:rPr>
      </w:pPr>
      <w:r w:rsidRPr="00907036">
        <w:rPr>
          <w:rFonts w:asciiTheme="majorHAnsi" w:hAnsiTheme="majorHAnsi" w:cstheme="majorHAnsi"/>
          <w:i/>
          <w:iCs/>
        </w:rPr>
        <w:t>Introduction</w:t>
      </w:r>
    </w:p>
    <w:p w:rsidRPr="00907036" w:rsidR="000F391D" w:rsidP="004019BA" w:rsidRDefault="00A365F1" w14:paraId="5D1D5613" w14:textId="3E715645">
      <w:pPr>
        <w:pStyle w:val="Standard"/>
        <w:numPr>
          <w:ilvl w:val="0"/>
          <w:numId w:val="11"/>
        </w:numPr>
        <w:tabs>
          <w:tab w:val="left" w:pos="717"/>
        </w:tabs>
        <w:spacing w:before="240" w:line="360" w:lineRule="auto"/>
        <w:jc w:val="both"/>
        <w:rPr>
          <w:rFonts w:asciiTheme="majorHAnsi" w:hAnsiTheme="majorHAnsi" w:cstheme="majorHAnsi"/>
        </w:rPr>
      </w:pPr>
      <w:r w:rsidRPr="00907036">
        <w:rPr>
          <w:rFonts w:asciiTheme="majorHAnsi" w:hAnsiTheme="majorHAnsi" w:cstheme="majorHAnsi"/>
        </w:rPr>
        <w:t xml:space="preserve">The </w:t>
      </w:r>
      <w:r w:rsidRPr="00907036" w:rsidR="007C189F">
        <w:rPr>
          <w:rFonts w:asciiTheme="majorHAnsi" w:hAnsiTheme="majorHAnsi" w:cstheme="majorHAnsi"/>
        </w:rPr>
        <w:t>C</w:t>
      </w:r>
      <w:r w:rsidRPr="00907036" w:rsidR="00887240">
        <w:rPr>
          <w:rFonts w:asciiTheme="majorHAnsi" w:hAnsiTheme="majorHAnsi" w:cstheme="majorHAnsi"/>
        </w:rPr>
        <w:t>harter</w:t>
      </w:r>
      <w:r w:rsidRPr="00907036">
        <w:rPr>
          <w:rFonts w:asciiTheme="majorHAnsi" w:hAnsiTheme="majorHAnsi" w:cstheme="majorHAnsi"/>
        </w:rPr>
        <w:t xml:space="preserve"> applies whenever a M</w:t>
      </w:r>
      <w:r w:rsidRPr="00907036" w:rsidR="00CA53F2">
        <w:rPr>
          <w:rFonts w:asciiTheme="majorHAnsi" w:hAnsiTheme="majorHAnsi" w:cstheme="majorHAnsi"/>
        </w:rPr>
        <w:t>ember State is implementing EU law (or in the case of the UK is implementing provisions of EU law made applicable by the Withdrawal Agreement</w:t>
      </w:r>
      <w:r w:rsidRPr="00907036" w:rsidR="00E12B0A">
        <w:rPr>
          <w:rFonts w:asciiTheme="majorHAnsi" w:hAnsiTheme="majorHAnsi" w:cstheme="majorHAnsi"/>
        </w:rPr>
        <w:t xml:space="preserve"> (‘</w:t>
      </w:r>
      <w:r w:rsidRPr="00907036" w:rsidR="00E12B0A">
        <w:rPr>
          <w:rFonts w:asciiTheme="majorHAnsi" w:hAnsiTheme="majorHAnsi" w:cstheme="majorHAnsi"/>
          <w:b/>
          <w:bCs/>
        </w:rPr>
        <w:t>WA</w:t>
      </w:r>
      <w:r w:rsidRPr="00907036" w:rsidR="00E12B0A">
        <w:rPr>
          <w:rFonts w:asciiTheme="majorHAnsi" w:hAnsiTheme="majorHAnsi" w:cstheme="majorHAnsi"/>
        </w:rPr>
        <w:t>’)</w:t>
      </w:r>
      <w:r w:rsidRPr="00907036" w:rsidR="00CA53F2">
        <w:rPr>
          <w:rFonts w:asciiTheme="majorHAnsi" w:hAnsiTheme="majorHAnsi" w:cstheme="majorHAnsi"/>
        </w:rPr>
        <w:t>)</w:t>
      </w:r>
      <w:r w:rsidRPr="00907036" w:rsidR="002E4B20">
        <w:rPr>
          <w:rFonts w:asciiTheme="majorHAnsi" w:hAnsiTheme="majorHAnsi" w:cstheme="majorHAnsi"/>
        </w:rPr>
        <w:t xml:space="preserve"> – see </w:t>
      </w:r>
      <w:r w:rsidRPr="00907036" w:rsidR="007B343F">
        <w:rPr>
          <w:rFonts w:asciiTheme="majorHAnsi" w:hAnsiTheme="majorHAnsi" w:cstheme="majorHAnsi"/>
        </w:rPr>
        <w:t>article 51 Charter</w:t>
      </w:r>
      <w:r w:rsidRPr="00907036" w:rsidR="00CA53F2">
        <w:rPr>
          <w:rFonts w:asciiTheme="majorHAnsi" w:hAnsiTheme="majorHAnsi" w:cstheme="majorHAnsi"/>
        </w:rPr>
        <w:t>.</w:t>
      </w:r>
    </w:p>
    <w:p w:rsidRPr="00907036" w:rsidR="00443986" w:rsidP="004019BA" w:rsidRDefault="00AC4270" w14:paraId="6A9E1D8F" w14:textId="11F57AD6">
      <w:pPr>
        <w:pStyle w:val="Standard"/>
        <w:numPr>
          <w:ilvl w:val="0"/>
          <w:numId w:val="11"/>
        </w:numPr>
        <w:tabs>
          <w:tab w:val="left" w:pos="717"/>
        </w:tabs>
        <w:spacing w:before="240" w:line="360" w:lineRule="auto"/>
        <w:jc w:val="both"/>
        <w:rPr>
          <w:rFonts w:asciiTheme="majorHAnsi" w:hAnsiTheme="majorHAnsi" w:cstheme="majorHAnsi"/>
        </w:rPr>
      </w:pPr>
      <w:r w:rsidRPr="00907036">
        <w:rPr>
          <w:rFonts w:asciiTheme="majorHAnsi" w:hAnsiTheme="majorHAnsi" w:cstheme="majorHAnsi"/>
        </w:rPr>
        <w:t xml:space="preserve">The Upper Tribunal and Court of Appeal </w:t>
      </w:r>
      <w:r w:rsidRPr="00907036" w:rsidR="004933EB">
        <w:rPr>
          <w:rFonts w:asciiTheme="majorHAnsi" w:hAnsiTheme="majorHAnsi" w:cstheme="majorHAnsi"/>
        </w:rPr>
        <w:t xml:space="preserve">in the </w:t>
      </w:r>
      <w:r w:rsidRPr="00907036" w:rsidR="004933EB">
        <w:rPr>
          <w:rFonts w:asciiTheme="majorHAnsi" w:hAnsiTheme="majorHAnsi" w:cstheme="majorHAnsi"/>
          <w:i/>
          <w:iCs/>
        </w:rPr>
        <w:t xml:space="preserve">SSWP v AT </w:t>
      </w:r>
      <w:r w:rsidRPr="00907036" w:rsidR="004933EB">
        <w:rPr>
          <w:rFonts w:asciiTheme="majorHAnsi" w:hAnsiTheme="majorHAnsi" w:cstheme="majorHAnsi"/>
        </w:rPr>
        <w:t xml:space="preserve">litigation </w:t>
      </w:r>
      <w:r w:rsidRPr="00907036">
        <w:rPr>
          <w:rFonts w:asciiTheme="majorHAnsi" w:hAnsiTheme="majorHAnsi" w:cstheme="majorHAnsi"/>
        </w:rPr>
        <w:t xml:space="preserve">held that the UK was </w:t>
      </w:r>
      <w:r w:rsidRPr="00907036" w:rsidR="00E8132F">
        <w:rPr>
          <w:rFonts w:asciiTheme="majorHAnsi" w:hAnsiTheme="majorHAnsi" w:cstheme="majorHAnsi"/>
        </w:rPr>
        <w:t>implementing provisions of EU law (specifically article 21 of the Treaty on the Functioning of the European Union (‘</w:t>
      </w:r>
      <w:r w:rsidRPr="00907036" w:rsidR="00E8132F">
        <w:rPr>
          <w:rFonts w:asciiTheme="majorHAnsi" w:hAnsiTheme="majorHAnsi" w:cstheme="majorHAnsi"/>
          <w:b/>
          <w:bCs/>
        </w:rPr>
        <w:t>TFEU</w:t>
      </w:r>
      <w:r w:rsidRPr="00907036" w:rsidR="00E8132F">
        <w:rPr>
          <w:rFonts w:asciiTheme="majorHAnsi" w:hAnsiTheme="majorHAnsi" w:cstheme="majorHAnsi"/>
        </w:rPr>
        <w:t>’)</w:t>
      </w:r>
      <w:r w:rsidRPr="00907036" w:rsidR="004933EB">
        <w:rPr>
          <w:rFonts w:asciiTheme="majorHAnsi" w:hAnsiTheme="majorHAnsi" w:cstheme="majorHAnsi"/>
        </w:rPr>
        <w:t>)</w:t>
      </w:r>
      <w:r w:rsidRPr="00907036" w:rsidR="00E8132F">
        <w:rPr>
          <w:rFonts w:asciiTheme="majorHAnsi" w:hAnsiTheme="majorHAnsi" w:cstheme="majorHAnsi"/>
        </w:rPr>
        <w:t xml:space="preserve">, when deciding a claim for UC made by a person </w:t>
      </w:r>
      <w:r w:rsidRPr="00907036" w:rsidR="005A4D92">
        <w:rPr>
          <w:rFonts w:asciiTheme="majorHAnsi" w:hAnsiTheme="majorHAnsi" w:cstheme="majorHAnsi"/>
        </w:rPr>
        <w:t>to whom it had granted a right of residence under domestic law in the form of pre-settled status</w:t>
      </w:r>
      <w:r w:rsidRPr="00907036" w:rsidR="004933EB">
        <w:rPr>
          <w:rFonts w:asciiTheme="majorHAnsi" w:hAnsiTheme="majorHAnsi" w:cstheme="majorHAnsi"/>
        </w:rPr>
        <w:t>.</w:t>
      </w:r>
      <w:r w:rsidRPr="00907036" w:rsidR="004202B6">
        <w:rPr>
          <w:rFonts w:asciiTheme="majorHAnsi" w:hAnsiTheme="majorHAnsi" w:cstheme="majorHAnsi"/>
        </w:rPr>
        <w:t xml:space="preserve"> Because when deciding the UC claim EU law was being implemented then the Charter could be relied upon.</w:t>
      </w:r>
    </w:p>
    <w:p w:rsidRPr="00907036" w:rsidR="004933EB" w:rsidP="004019BA" w:rsidRDefault="004933EB" w14:paraId="05099B80" w14:textId="1E1FE74A">
      <w:pPr>
        <w:pStyle w:val="Standard"/>
        <w:numPr>
          <w:ilvl w:val="0"/>
          <w:numId w:val="11"/>
        </w:numPr>
        <w:tabs>
          <w:tab w:val="left" w:pos="717"/>
        </w:tabs>
        <w:spacing w:before="240" w:line="360" w:lineRule="auto"/>
        <w:jc w:val="both"/>
        <w:rPr>
          <w:rFonts w:asciiTheme="majorHAnsi" w:hAnsiTheme="majorHAnsi" w:cstheme="majorHAnsi"/>
        </w:rPr>
      </w:pPr>
      <w:r w:rsidRPr="00907036">
        <w:rPr>
          <w:rFonts w:asciiTheme="majorHAnsi" w:hAnsiTheme="majorHAnsi" w:cstheme="majorHAnsi"/>
        </w:rPr>
        <w:t xml:space="preserve">The Appellant’s case is that the UK is also implementing EU law </w:t>
      </w:r>
      <w:r w:rsidRPr="00907036" w:rsidR="006A7856">
        <w:rPr>
          <w:rFonts w:asciiTheme="majorHAnsi" w:hAnsiTheme="majorHAnsi" w:cstheme="majorHAnsi"/>
        </w:rPr>
        <w:t xml:space="preserve">(again article 21 </w:t>
      </w:r>
      <w:proofErr w:type="spellStart"/>
      <w:r w:rsidRPr="00907036" w:rsidR="006A7856">
        <w:rPr>
          <w:rFonts w:asciiTheme="majorHAnsi" w:hAnsiTheme="majorHAnsi" w:cstheme="majorHAnsi"/>
        </w:rPr>
        <w:t>TFEU</w:t>
      </w:r>
      <w:proofErr w:type="spellEnd"/>
      <w:r w:rsidRPr="00907036" w:rsidR="006A7856">
        <w:rPr>
          <w:rFonts w:asciiTheme="majorHAnsi" w:hAnsiTheme="majorHAnsi" w:cstheme="majorHAnsi"/>
        </w:rPr>
        <w:t xml:space="preserve">) when a </w:t>
      </w:r>
      <w:proofErr w:type="spellStart"/>
      <w:r w:rsidRPr="00907036" w:rsidR="006A7856">
        <w:rPr>
          <w:rFonts w:asciiTheme="majorHAnsi" w:hAnsiTheme="majorHAnsi" w:cstheme="majorHAnsi"/>
        </w:rPr>
        <w:t>non EU</w:t>
      </w:r>
      <w:proofErr w:type="spellEnd"/>
      <w:r w:rsidRPr="00907036" w:rsidR="006A7856">
        <w:rPr>
          <w:rFonts w:asciiTheme="majorHAnsi" w:hAnsiTheme="majorHAnsi" w:cstheme="majorHAnsi"/>
        </w:rPr>
        <w:t xml:space="preserve"> citizen who has been granted pre-settled status, claims UC.</w:t>
      </w:r>
      <w:r w:rsidRPr="00907036" w:rsidR="001C5545">
        <w:rPr>
          <w:rFonts w:asciiTheme="majorHAnsi" w:hAnsiTheme="majorHAnsi" w:cstheme="majorHAnsi"/>
        </w:rPr>
        <w:t xml:space="preserve"> The only difference between the Appellant’s case and that of AT is that the </w:t>
      </w:r>
      <w:r w:rsidRPr="00907036" w:rsidR="00CC1D91">
        <w:rPr>
          <w:rFonts w:asciiTheme="majorHAnsi" w:hAnsiTheme="majorHAnsi" w:cstheme="majorHAnsi"/>
        </w:rPr>
        <w:t xml:space="preserve">Appellant’s route to the UK implementing article 21 is via article 13(3) WA, whereas </w:t>
      </w:r>
      <w:proofErr w:type="gramStart"/>
      <w:r w:rsidRPr="00907036" w:rsidR="00CC1D91">
        <w:rPr>
          <w:rFonts w:asciiTheme="majorHAnsi" w:hAnsiTheme="majorHAnsi" w:cstheme="majorHAnsi"/>
        </w:rPr>
        <w:t>AT’s</w:t>
      </w:r>
      <w:proofErr w:type="gramEnd"/>
      <w:r w:rsidRPr="00907036" w:rsidR="00CC1D91">
        <w:rPr>
          <w:rFonts w:asciiTheme="majorHAnsi" w:hAnsiTheme="majorHAnsi" w:cstheme="majorHAnsi"/>
        </w:rPr>
        <w:t xml:space="preserve"> was via article 13(1).</w:t>
      </w:r>
    </w:p>
    <w:p w:rsidRPr="00907036" w:rsidR="007C189F" w:rsidP="004019BA" w:rsidRDefault="007C189F" w14:paraId="4D91B069" w14:textId="2AF4D08D">
      <w:pPr>
        <w:pStyle w:val="Standard"/>
        <w:numPr>
          <w:ilvl w:val="0"/>
          <w:numId w:val="11"/>
        </w:numPr>
        <w:tabs>
          <w:tab w:val="left" w:pos="717"/>
        </w:tabs>
        <w:spacing w:before="240" w:line="360" w:lineRule="auto"/>
        <w:jc w:val="both"/>
        <w:rPr>
          <w:rFonts w:asciiTheme="majorHAnsi" w:hAnsiTheme="majorHAnsi" w:cstheme="majorHAnsi"/>
        </w:rPr>
      </w:pPr>
      <w:r w:rsidRPr="00907036">
        <w:rPr>
          <w:rFonts w:asciiTheme="majorHAnsi" w:hAnsiTheme="majorHAnsi" w:cstheme="majorHAnsi"/>
        </w:rPr>
        <w:t>Article 13 WA is as follows:</w:t>
      </w:r>
    </w:p>
    <w:p w:rsidRPr="00907036" w:rsidR="00BF0F21" w:rsidP="00BF0F21" w:rsidRDefault="00972FFA" w14:paraId="6AFE1624" w14:textId="77777777">
      <w:pPr>
        <w:pStyle w:val="Standard"/>
        <w:tabs>
          <w:tab w:val="left" w:pos="717"/>
        </w:tabs>
        <w:spacing w:before="240"/>
        <w:ind w:left="1418"/>
        <w:jc w:val="center"/>
        <w:rPr>
          <w:rFonts w:asciiTheme="majorHAnsi" w:hAnsiTheme="majorHAnsi" w:cstheme="majorHAnsi"/>
          <w:i/>
          <w:iCs/>
        </w:rPr>
      </w:pPr>
      <w:r w:rsidRPr="00907036">
        <w:rPr>
          <w:rFonts w:asciiTheme="majorHAnsi" w:hAnsiTheme="majorHAnsi" w:cstheme="majorHAnsi"/>
          <w:i/>
          <w:iCs/>
        </w:rPr>
        <w:t>Article 13</w:t>
      </w:r>
    </w:p>
    <w:p w:rsidRPr="00907036" w:rsidR="00972FFA" w:rsidP="00BF0F21" w:rsidRDefault="00972FFA" w14:paraId="25021B26" w14:textId="1612D18F">
      <w:pPr>
        <w:pStyle w:val="Standard"/>
        <w:tabs>
          <w:tab w:val="left" w:pos="717"/>
        </w:tabs>
        <w:spacing w:before="240"/>
        <w:ind w:left="1418"/>
        <w:jc w:val="center"/>
        <w:rPr>
          <w:rFonts w:asciiTheme="majorHAnsi" w:hAnsiTheme="majorHAnsi" w:cstheme="majorHAnsi"/>
          <w:b/>
          <w:bCs/>
          <w:i/>
          <w:iCs/>
        </w:rPr>
      </w:pPr>
      <w:r w:rsidRPr="00907036">
        <w:rPr>
          <w:rFonts w:asciiTheme="majorHAnsi" w:hAnsiTheme="majorHAnsi" w:cstheme="majorHAnsi"/>
          <w:b/>
          <w:bCs/>
          <w:i/>
          <w:iCs/>
        </w:rPr>
        <w:t>Residence rights</w:t>
      </w:r>
    </w:p>
    <w:p w:rsidRPr="00907036" w:rsidR="00972FFA" w:rsidP="00BF0F21" w:rsidRDefault="00972FFA" w14:paraId="703A5EB8" w14:textId="77777777">
      <w:pPr>
        <w:pStyle w:val="Standard"/>
        <w:tabs>
          <w:tab w:val="left" w:pos="717"/>
        </w:tabs>
        <w:spacing w:before="240"/>
        <w:ind w:left="1418"/>
        <w:rPr>
          <w:rFonts w:asciiTheme="majorHAnsi" w:hAnsiTheme="majorHAnsi" w:cstheme="majorHAnsi"/>
        </w:rPr>
      </w:pPr>
      <w:r w:rsidRPr="00907036">
        <w:rPr>
          <w:rFonts w:asciiTheme="majorHAnsi" w:hAnsiTheme="majorHAnsi" w:cstheme="majorHAnsi"/>
        </w:rPr>
        <w:t>1.Union citizens and United Kingdom nationals shall have the right to reside in the host State under the limitations and conditions as set out in Articles 21, 45 or 49 TFEU and in Article 6(1), points (a), (b) or (c) of Article 7(1), Article 7(3), Article 14, Article 16(1) or Article 17(1) of Directive 2004/38/EC.</w:t>
      </w:r>
    </w:p>
    <w:p w:rsidRPr="00907036" w:rsidR="00972FFA" w:rsidP="00BF0F21" w:rsidRDefault="00972FFA" w14:paraId="52E6B4FD" w14:textId="77777777">
      <w:pPr>
        <w:pStyle w:val="Standard"/>
        <w:tabs>
          <w:tab w:val="left" w:pos="717"/>
        </w:tabs>
        <w:spacing w:before="240"/>
        <w:ind w:left="1418"/>
        <w:rPr>
          <w:rFonts w:asciiTheme="majorHAnsi" w:hAnsiTheme="majorHAnsi" w:cstheme="majorHAnsi"/>
        </w:rPr>
      </w:pPr>
      <w:r w:rsidRPr="00907036">
        <w:rPr>
          <w:rFonts w:asciiTheme="majorHAnsi" w:hAnsiTheme="majorHAnsi" w:cstheme="majorHAnsi"/>
        </w:rPr>
        <w:t>2.Family members who are either Union citizens or United Kingdom nationals shall have the right to reside in the host State as set out in Article 21 TFEU and in Article 6(1), point (d) of Article 7(1), Article 12(1) or (3), Article 13(1), Article 14, Article 16(1) or Article 17(3) and (4) of Directive 2004/38/EC, subject to the limitations and conditions set out in those provisions.</w:t>
      </w:r>
    </w:p>
    <w:p w:rsidRPr="00907036" w:rsidR="00972FFA" w:rsidP="00BF0F21" w:rsidRDefault="00972FFA" w14:paraId="3D628D9A" w14:textId="77777777">
      <w:pPr>
        <w:pStyle w:val="Standard"/>
        <w:tabs>
          <w:tab w:val="left" w:pos="717"/>
        </w:tabs>
        <w:spacing w:before="240"/>
        <w:ind w:left="1418"/>
        <w:rPr>
          <w:rFonts w:asciiTheme="majorHAnsi" w:hAnsiTheme="majorHAnsi" w:cstheme="majorHAnsi"/>
        </w:rPr>
      </w:pPr>
      <w:r w:rsidRPr="00907036">
        <w:rPr>
          <w:rFonts w:asciiTheme="majorHAnsi" w:hAnsiTheme="majorHAnsi" w:cstheme="majorHAnsi"/>
        </w:rPr>
        <w:t>3.Family members who are neither Union citizens nor United Kingdom nationals shall have the right to reside in the host State under Article 21 TFEU and as set out in Article 6(2), Article 7(2), Article 12(2) or (3), Article 13(2), Article 14, Article 16(2), Article 17(3) or (4) or Article 18 of Directive 2004/38/EC, subject to the limitations and conditions set out in those provisions.</w:t>
      </w:r>
    </w:p>
    <w:p w:rsidRPr="00907036" w:rsidR="00972FFA" w:rsidP="00BF0F21" w:rsidRDefault="00972FFA" w14:paraId="1D7EA259" w14:textId="721F52DD">
      <w:pPr>
        <w:pStyle w:val="Standard"/>
        <w:tabs>
          <w:tab w:val="left" w:pos="717"/>
        </w:tabs>
        <w:spacing w:before="240"/>
        <w:ind w:left="1418"/>
        <w:jc w:val="both"/>
        <w:rPr>
          <w:rFonts w:asciiTheme="majorHAnsi" w:hAnsiTheme="majorHAnsi" w:cstheme="majorHAnsi"/>
        </w:rPr>
      </w:pPr>
      <w:r w:rsidRPr="00907036">
        <w:rPr>
          <w:rFonts w:asciiTheme="majorHAnsi" w:hAnsiTheme="majorHAnsi" w:cstheme="majorHAnsi"/>
        </w:rPr>
        <w:t>4.The host State may not impose any limitations or conditions for obtaining, retaining or losing residence rights on the persons referred to in paragraphs 1, 2 and 3, other than those provided for in this Title. There shall be no discretion in applying the limitations and conditions provided for in this Title, other than in favour of the person concerned.</w:t>
      </w:r>
    </w:p>
    <w:p w:rsidRPr="00907036" w:rsidR="007C189F" w:rsidP="004019BA" w:rsidRDefault="005C04EA" w14:paraId="2440B23C" w14:textId="679605C6">
      <w:pPr>
        <w:pStyle w:val="Standard"/>
        <w:numPr>
          <w:ilvl w:val="0"/>
          <w:numId w:val="11"/>
        </w:numPr>
        <w:tabs>
          <w:tab w:val="left" w:pos="717"/>
        </w:tabs>
        <w:spacing w:before="240" w:line="360" w:lineRule="auto"/>
        <w:jc w:val="both"/>
        <w:rPr>
          <w:rFonts w:asciiTheme="majorHAnsi" w:hAnsiTheme="majorHAnsi" w:cstheme="majorHAnsi"/>
        </w:rPr>
      </w:pPr>
      <w:r>
        <w:rPr>
          <w:rFonts w:asciiTheme="majorHAnsi" w:hAnsiTheme="majorHAnsi" w:cstheme="majorHAnsi"/>
        </w:rPr>
        <w:t>A</w:t>
      </w:r>
      <w:r w:rsidRPr="00907036" w:rsidR="004202B6">
        <w:rPr>
          <w:rFonts w:asciiTheme="majorHAnsi" w:hAnsiTheme="majorHAnsi" w:cstheme="majorHAnsi"/>
        </w:rPr>
        <w:t xml:space="preserve">rticle 13(3) </w:t>
      </w:r>
      <w:r w:rsidRPr="00907036" w:rsidR="00767C53">
        <w:rPr>
          <w:rFonts w:asciiTheme="majorHAnsi" w:hAnsiTheme="majorHAnsi" w:cstheme="majorHAnsi"/>
        </w:rPr>
        <w:t xml:space="preserve">expressly says that </w:t>
      </w:r>
      <w:proofErr w:type="spellStart"/>
      <w:proofErr w:type="gramStart"/>
      <w:r w:rsidRPr="00907036" w:rsidR="00767C53">
        <w:rPr>
          <w:rFonts w:asciiTheme="majorHAnsi" w:hAnsiTheme="majorHAnsi" w:cstheme="majorHAnsi"/>
        </w:rPr>
        <w:t>non EU</w:t>
      </w:r>
      <w:proofErr w:type="spellEnd"/>
      <w:proofErr w:type="gramEnd"/>
      <w:r w:rsidRPr="00907036" w:rsidR="00767C53">
        <w:rPr>
          <w:rFonts w:asciiTheme="majorHAnsi" w:hAnsiTheme="majorHAnsi" w:cstheme="majorHAnsi"/>
        </w:rPr>
        <w:t xml:space="preserve"> citizens to whom the WA applies (see article 10</w:t>
      </w:r>
      <w:r w:rsidRPr="00907036" w:rsidR="00AF234F">
        <w:rPr>
          <w:rFonts w:asciiTheme="majorHAnsi" w:hAnsiTheme="majorHAnsi" w:cstheme="majorHAnsi"/>
        </w:rPr>
        <w:t xml:space="preserve"> below</w:t>
      </w:r>
      <w:r w:rsidRPr="00907036" w:rsidR="00767C53">
        <w:rPr>
          <w:rFonts w:asciiTheme="majorHAnsi" w:hAnsiTheme="majorHAnsi" w:cstheme="majorHAnsi"/>
        </w:rPr>
        <w:t xml:space="preserve">) </w:t>
      </w:r>
      <w:r w:rsidRPr="00907036" w:rsidR="00C017B8">
        <w:rPr>
          <w:rFonts w:asciiTheme="majorHAnsi" w:hAnsiTheme="majorHAnsi" w:cstheme="majorHAnsi"/>
        </w:rPr>
        <w:t xml:space="preserve">do have a right to reside under article 21. </w:t>
      </w:r>
      <w:proofErr w:type="gramStart"/>
      <w:r w:rsidRPr="00907036" w:rsidR="00C017B8">
        <w:rPr>
          <w:rFonts w:asciiTheme="majorHAnsi" w:hAnsiTheme="majorHAnsi" w:cstheme="majorHAnsi"/>
        </w:rPr>
        <w:t>In</w:t>
      </w:r>
      <w:r>
        <w:rPr>
          <w:rFonts w:asciiTheme="majorHAnsi" w:hAnsiTheme="majorHAnsi" w:cstheme="majorHAnsi"/>
        </w:rPr>
        <w:t>deed</w:t>
      </w:r>
      <w:proofErr w:type="gramEnd"/>
      <w:r>
        <w:rPr>
          <w:rFonts w:asciiTheme="majorHAnsi" w:hAnsiTheme="majorHAnsi" w:cstheme="majorHAnsi"/>
        </w:rPr>
        <w:t xml:space="preserve"> </w:t>
      </w:r>
      <w:r w:rsidRPr="00907036" w:rsidR="00C017B8">
        <w:rPr>
          <w:rFonts w:asciiTheme="majorHAnsi" w:hAnsiTheme="majorHAnsi" w:cstheme="majorHAnsi"/>
        </w:rPr>
        <w:t xml:space="preserve">this is clearer for </w:t>
      </w:r>
      <w:r w:rsidR="00B45719">
        <w:rPr>
          <w:rFonts w:asciiTheme="majorHAnsi" w:hAnsiTheme="majorHAnsi" w:cstheme="majorHAnsi"/>
        </w:rPr>
        <w:t>TCNs</w:t>
      </w:r>
      <w:r w:rsidRPr="00907036" w:rsidR="00C017B8">
        <w:rPr>
          <w:rFonts w:asciiTheme="majorHAnsi" w:hAnsiTheme="majorHAnsi" w:cstheme="majorHAnsi"/>
        </w:rPr>
        <w:t xml:space="preserve"> under article 13(3) (who “have the right to reside […] under Article 21 TFEU”) than it is for EU citizens under article 13(1) (who on first reading </w:t>
      </w:r>
      <w:r w:rsidRPr="00907036" w:rsidR="00DB4D38">
        <w:rPr>
          <w:rFonts w:asciiTheme="majorHAnsi" w:hAnsiTheme="majorHAnsi" w:cstheme="majorHAnsi"/>
        </w:rPr>
        <w:t xml:space="preserve">have the right to reside </w:t>
      </w:r>
      <w:r>
        <w:rPr>
          <w:rFonts w:asciiTheme="majorHAnsi" w:hAnsiTheme="majorHAnsi" w:cstheme="majorHAnsi"/>
        </w:rPr>
        <w:t xml:space="preserve">only </w:t>
      </w:r>
      <w:r w:rsidRPr="00907036" w:rsidR="00DB4D38">
        <w:rPr>
          <w:rFonts w:asciiTheme="majorHAnsi" w:hAnsiTheme="majorHAnsi" w:cstheme="majorHAnsi"/>
        </w:rPr>
        <w:t>under limitations in article 21). That is a point relied upon by the Upper Tribunal and Court of Appeal (as explained below).</w:t>
      </w:r>
    </w:p>
    <w:p w:rsidRPr="00907036" w:rsidR="00AF234F" w:rsidP="004019BA" w:rsidRDefault="00B45719" w14:paraId="42EECBDE" w14:textId="0FEBA6B4">
      <w:pPr>
        <w:pStyle w:val="Standard"/>
        <w:numPr>
          <w:ilvl w:val="0"/>
          <w:numId w:val="11"/>
        </w:numPr>
        <w:tabs>
          <w:tab w:val="left" w:pos="717"/>
        </w:tabs>
        <w:spacing w:before="240" w:line="360" w:lineRule="auto"/>
        <w:jc w:val="both"/>
        <w:rPr>
          <w:rFonts w:asciiTheme="majorHAnsi" w:hAnsiTheme="majorHAnsi" w:cstheme="majorHAnsi"/>
        </w:rPr>
      </w:pPr>
      <w:r>
        <w:rPr>
          <w:rFonts w:asciiTheme="majorHAnsi" w:hAnsiTheme="majorHAnsi" w:cstheme="majorHAnsi"/>
        </w:rPr>
        <w:t>TCN</w:t>
      </w:r>
      <w:r w:rsidRPr="00907036" w:rsidR="00AF234F">
        <w:rPr>
          <w:rFonts w:asciiTheme="majorHAnsi" w:hAnsiTheme="majorHAnsi" w:cstheme="majorHAnsi"/>
        </w:rPr>
        <w:t xml:space="preserve">s, such as the Appellant in this case, were issued with pre-settled status </w:t>
      </w:r>
      <w:r w:rsidRPr="00907036" w:rsidR="00103F61">
        <w:rPr>
          <w:rFonts w:asciiTheme="majorHAnsi" w:hAnsiTheme="majorHAnsi" w:cstheme="majorHAnsi"/>
        </w:rPr>
        <w:t>because they fell within article 10</w:t>
      </w:r>
      <w:r w:rsidRPr="00907036" w:rsidR="00C06886">
        <w:rPr>
          <w:rFonts w:asciiTheme="majorHAnsi" w:hAnsiTheme="majorHAnsi" w:cstheme="majorHAnsi"/>
        </w:rPr>
        <w:t>(1)(e)(</w:t>
      </w:r>
      <w:proofErr w:type="spellStart"/>
      <w:r w:rsidRPr="00907036" w:rsidR="00C06886">
        <w:rPr>
          <w:rFonts w:asciiTheme="majorHAnsi" w:hAnsiTheme="majorHAnsi" w:cstheme="majorHAnsi"/>
        </w:rPr>
        <w:t>i</w:t>
      </w:r>
      <w:proofErr w:type="spellEnd"/>
      <w:r w:rsidRPr="00907036" w:rsidR="00C06886">
        <w:rPr>
          <w:rFonts w:asciiTheme="majorHAnsi" w:hAnsiTheme="majorHAnsi" w:cstheme="majorHAnsi"/>
        </w:rPr>
        <w:t>)</w:t>
      </w:r>
      <w:r w:rsidRPr="00907036" w:rsidR="00103F61">
        <w:rPr>
          <w:rFonts w:asciiTheme="majorHAnsi" w:hAnsiTheme="majorHAnsi" w:cstheme="majorHAnsi"/>
        </w:rPr>
        <w:t xml:space="preserve"> WA:</w:t>
      </w:r>
      <w:r w:rsidRPr="00907036" w:rsidR="00C06886">
        <w:rPr>
          <w:rFonts w:asciiTheme="majorHAnsi" w:hAnsiTheme="majorHAnsi" w:cstheme="majorHAnsi"/>
        </w:rPr>
        <w:t xml:space="preserve"> </w:t>
      </w:r>
      <w:proofErr w:type="spellStart"/>
      <w:r w:rsidRPr="00907036" w:rsidR="00C06886">
        <w:rPr>
          <w:rFonts w:asciiTheme="majorHAnsi" w:hAnsiTheme="majorHAnsi" w:cstheme="majorHAnsi"/>
        </w:rPr>
        <w:t>ie</w:t>
      </w:r>
      <w:proofErr w:type="spellEnd"/>
      <w:r w:rsidRPr="00907036" w:rsidR="00C06886">
        <w:rPr>
          <w:rFonts w:asciiTheme="majorHAnsi" w:hAnsiTheme="majorHAnsi" w:cstheme="majorHAnsi"/>
        </w:rPr>
        <w:t xml:space="preserve"> they were family members of EU nationals who had moved to and resided in the UK before 31/12/2020</w:t>
      </w:r>
      <w:r w:rsidRPr="00907036" w:rsidR="00973A76">
        <w:rPr>
          <w:rFonts w:asciiTheme="majorHAnsi" w:hAnsiTheme="majorHAnsi" w:cstheme="majorHAnsi"/>
        </w:rPr>
        <w:t xml:space="preserve"> who themselves had also moved here before that date</w:t>
      </w:r>
      <w:r w:rsidRPr="00907036" w:rsidR="00544FC5">
        <w:rPr>
          <w:rFonts w:asciiTheme="majorHAnsi" w:hAnsiTheme="majorHAnsi" w:cstheme="majorHAnsi"/>
        </w:rPr>
        <w:t>:</w:t>
      </w:r>
    </w:p>
    <w:p w:rsidRPr="00907036" w:rsidR="00544FC5" w:rsidP="00485B3B" w:rsidRDefault="00544FC5" w14:paraId="46D3301C" w14:textId="77777777">
      <w:pPr>
        <w:pStyle w:val="Standard"/>
        <w:tabs>
          <w:tab w:val="left" w:pos="717"/>
        </w:tabs>
        <w:spacing w:before="240"/>
        <w:ind w:left="2127"/>
        <w:jc w:val="center"/>
        <w:rPr>
          <w:rFonts w:asciiTheme="majorHAnsi" w:hAnsiTheme="majorHAnsi" w:cstheme="majorHAnsi"/>
          <w:i/>
          <w:iCs/>
        </w:rPr>
      </w:pPr>
      <w:r w:rsidRPr="00907036">
        <w:rPr>
          <w:rFonts w:asciiTheme="majorHAnsi" w:hAnsiTheme="majorHAnsi" w:cstheme="majorHAnsi"/>
          <w:i/>
          <w:iCs/>
        </w:rPr>
        <w:t>Article 10</w:t>
      </w:r>
    </w:p>
    <w:p w:rsidRPr="00907036" w:rsidR="00544FC5" w:rsidP="00485B3B" w:rsidRDefault="00544FC5" w14:paraId="2A08EB83" w14:textId="71EA5BDD">
      <w:pPr>
        <w:pStyle w:val="Standard"/>
        <w:tabs>
          <w:tab w:val="left" w:pos="717"/>
        </w:tabs>
        <w:spacing w:before="240"/>
        <w:ind w:left="2127"/>
        <w:jc w:val="center"/>
        <w:rPr>
          <w:rFonts w:asciiTheme="majorHAnsi" w:hAnsiTheme="majorHAnsi" w:cstheme="majorHAnsi"/>
          <w:b/>
          <w:bCs/>
          <w:i/>
          <w:iCs/>
        </w:rPr>
      </w:pPr>
      <w:r w:rsidRPr="00907036">
        <w:rPr>
          <w:rFonts w:asciiTheme="majorHAnsi" w:hAnsiTheme="majorHAnsi" w:cstheme="majorHAnsi"/>
          <w:b/>
          <w:bCs/>
          <w:i/>
          <w:iCs/>
        </w:rPr>
        <w:t>Personal scope</w:t>
      </w:r>
    </w:p>
    <w:p w:rsidRPr="00907036" w:rsidR="00544FC5" w:rsidP="00485B3B" w:rsidRDefault="00544FC5" w14:paraId="328EEC70" w14:textId="77777777">
      <w:pPr>
        <w:pStyle w:val="Standard"/>
        <w:tabs>
          <w:tab w:val="left" w:pos="717"/>
        </w:tabs>
        <w:spacing w:before="240"/>
        <w:ind w:left="2127"/>
        <w:rPr>
          <w:rFonts w:asciiTheme="majorHAnsi" w:hAnsiTheme="majorHAnsi" w:cstheme="majorHAnsi"/>
        </w:rPr>
      </w:pPr>
      <w:r w:rsidRPr="00907036">
        <w:rPr>
          <w:rFonts w:asciiTheme="majorHAnsi" w:hAnsiTheme="majorHAnsi" w:cstheme="majorHAnsi"/>
        </w:rPr>
        <w:t>1.Without prejudice to Title III, this Part shall apply to the following persons:</w:t>
      </w:r>
    </w:p>
    <w:p w:rsidRPr="00907036" w:rsidR="00544FC5" w:rsidP="00485B3B" w:rsidRDefault="00544FC5" w14:paraId="23396BAD" w14:textId="7F4FE630">
      <w:pPr>
        <w:pStyle w:val="Standard"/>
        <w:tabs>
          <w:tab w:val="left" w:pos="717"/>
        </w:tabs>
        <w:spacing w:before="240"/>
        <w:ind w:left="2127"/>
        <w:rPr>
          <w:rFonts w:asciiTheme="majorHAnsi" w:hAnsiTheme="majorHAnsi" w:cstheme="majorHAnsi"/>
        </w:rPr>
      </w:pPr>
      <w:r w:rsidRPr="00907036">
        <w:rPr>
          <w:rFonts w:asciiTheme="majorHAnsi" w:hAnsiTheme="majorHAnsi" w:cstheme="majorHAnsi"/>
        </w:rPr>
        <w:t>(a)</w:t>
      </w:r>
      <w:r w:rsidR="006D2553">
        <w:rPr>
          <w:rFonts w:asciiTheme="majorHAnsi" w:hAnsiTheme="majorHAnsi" w:cstheme="majorHAnsi"/>
        </w:rPr>
        <w:t xml:space="preserve"> </w:t>
      </w:r>
      <w:r w:rsidRPr="00907036">
        <w:rPr>
          <w:rFonts w:asciiTheme="majorHAnsi" w:hAnsiTheme="majorHAnsi" w:cstheme="majorHAnsi"/>
        </w:rPr>
        <w:t>Union citizens who exercised their right to reside in the United Kingdom in accordance with Union law before the end of the transition period and continue to reside there thereafter;</w:t>
      </w:r>
    </w:p>
    <w:p w:rsidRPr="00907036" w:rsidR="00544FC5" w:rsidP="00485B3B" w:rsidRDefault="00544FC5" w14:paraId="755265E7" w14:textId="77777777">
      <w:pPr>
        <w:pStyle w:val="Standard"/>
        <w:tabs>
          <w:tab w:val="left" w:pos="717"/>
        </w:tabs>
        <w:spacing w:before="240"/>
        <w:ind w:left="2127"/>
        <w:rPr>
          <w:rFonts w:asciiTheme="majorHAnsi" w:hAnsiTheme="majorHAnsi" w:cstheme="majorHAnsi"/>
        </w:rPr>
      </w:pPr>
      <w:r w:rsidRPr="00907036">
        <w:rPr>
          <w:rFonts w:asciiTheme="majorHAnsi" w:hAnsiTheme="majorHAnsi" w:cstheme="majorHAnsi"/>
        </w:rPr>
        <w:t>[…]</w:t>
      </w:r>
    </w:p>
    <w:p w:rsidRPr="00907036" w:rsidR="00544FC5" w:rsidP="00485B3B" w:rsidRDefault="00544FC5" w14:paraId="10880AEA" w14:textId="373EC509">
      <w:pPr>
        <w:pStyle w:val="Standard"/>
        <w:tabs>
          <w:tab w:val="left" w:pos="717"/>
        </w:tabs>
        <w:spacing w:before="240"/>
        <w:ind w:left="2127"/>
        <w:rPr>
          <w:rFonts w:asciiTheme="majorHAnsi" w:hAnsiTheme="majorHAnsi" w:cstheme="majorHAnsi"/>
        </w:rPr>
      </w:pPr>
      <w:r w:rsidRPr="00907036">
        <w:rPr>
          <w:rFonts w:asciiTheme="majorHAnsi" w:hAnsiTheme="majorHAnsi" w:cstheme="majorHAnsi"/>
        </w:rPr>
        <w:t>(c)</w:t>
      </w:r>
      <w:r w:rsidR="006D2553">
        <w:rPr>
          <w:rFonts w:asciiTheme="majorHAnsi" w:hAnsiTheme="majorHAnsi" w:cstheme="majorHAnsi"/>
        </w:rPr>
        <w:t xml:space="preserve"> </w:t>
      </w:r>
      <w:r w:rsidRPr="00907036">
        <w:rPr>
          <w:rFonts w:asciiTheme="majorHAnsi" w:hAnsiTheme="majorHAnsi" w:cstheme="majorHAnsi"/>
        </w:rPr>
        <w:t>Union citizens who exercised their right as frontier workers in the United Kingdom in accordance with Union law before the end of the transition period and continue to do so thereafter;</w:t>
      </w:r>
    </w:p>
    <w:p w:rsidRPr="00907036" w:rsidR="00544FC5" w:rsidP="00485B3B" w:rsidRDefault="00544FC5" w14:paraId="2F3FB7B7" w14:textId="6DBA822D">
      <w:pPr>
        <w:pStyle w:val="Standard"/>
        <w:tabs>
          <w:tab w:val="left" w:pos="717"/>
        </w:tabs>
        <w:spacing w:before="240"/>
        <w:ind w:left="2127"/>
        <w:rPr>
          <w:rFonts w:asciiTheme="majorHAnsi" w:hAnsiTheme="majorHAnsi" w:cstheme="majorHAnsi"/>
        </w:rPr>
      </w:pPr>
      <w:r w:rsidRPr="00907036">
        <w:rPr>
          <w:rFonts w:asciiTheme="majorHAnsi" w:hAnsiTheme="majorHAnsi" w:cstheme="majorHAnsi"/>
        </w:rPr>
        <w:t>[…]</w:t>
      </w:r>
    </w:p>
    <w:p w:rsidRPr="00907036" w:rsidR="00544FC5" w:rsidP="00485B3B" w:rsidRDefault="00544FC5" w14:paraId="3A77BFD2" w14:textId="7E19BF03">
      <w:pPr>
        <w:pStyle w:val="Standard"/>
        <w:tabs>
          <w:tab w:val="left" w:pos="717"/>
        </w:tabs>
        <w:spacing w:before="240"/>
        <w:ind w:left="2127"/>
        <w:rPr>
          <w:rFonts w:asciiTheme="majorHAnsi" w:hAnsiTheme="majorHAnsi" w:cstheme="majorHAnsi"/>
        </w:rPr>
      </w:pPr>
      <w:r w:rsidRPr="00907036">
        <w:rPr>
          <w:rFonts w:asciiTheme="majorHAnsi" w:hAnsiTheme="majorHAnsi" w:cstheme="majorHAnsi"/>
        </w:rPr>
        <w:t>(e)</w:t>
      </w:r>
      <w:r w:rsidR="006D2553">
        <w:rPr>
          <w:rFonts w:asciiTheme="majorHAnsi" w:hAnsiTheme="majorHAnsi" w:cstheme="majorHAnsi"/>
        </w:rPr>
        <w:t xml:space="preserve"> </w:t>
      </w:r>
      <w:r w:rsidRPr="00907036">
        <w:rPr>
          <w:rFonts w:asciiTheme="majorHAnsi" w:hAnsiTheme="majorHAnsi" w:cstheme="majorHAnsi"/>
        </w:rPr>
        <w:t xml:space="preserve">family members of the persons referred to in points (a) to (d), </w:t>
      </w:r>
      <w:proofErr w:type="gramStart"/>
      <w:r w:rsidRPr="00907036">
        <w:rPr>
          <w:rFonts w:asciiTheme="majorHAnsi" w:hAnsiTheme="majorHAnsi" w:cstheme="majorHAnsi"/>
        </w:rPr>
        <w:t>provided that</w:t>
      </w:r>
      <w:proofErr w:type="gramEnd"/>
      <w:r w:rsidRPr="00907036">
        <w:rPr>
          <w:rFonts w:asciiTheme="majorHAnsi" w:hAnsiTheme="majorHAnsi" w:cstheme="majorHAnsi"/>
        </w:rPr>
        <w:t xml:space="preserve"> they fulfil one of the following conditions:</w:t>
      </w:r>
    </w:p>
    <w:p w:rsidRPr="00907036" w:rsidR="00A634A7" w:rsidP="00B45719" w:rsidRDefault="00544FC5" w14:paraId="087416DE" w14:textId="46536771">
      <w:pPr>
        <w:pStyle w:val="Standard"/>
        <w:tabs>
          <w:tab w:val="left" w:pos="717"/>
        </w:tabs>
        <w:spacing w:before="240"/>
        <w:ind w:left="2836"/>
        <w:rPr>
          <w:rFonts w:asciiTheme="majorHAnsi" w:hAnsiTheme="majorHAnsi" w:cstheme="majorHAnsi"/>
          <w:i/>
          <w:iCs/>
        </w:rPr>
      </w:pPr>
      <w:r w:rsidRPr="00907036">
        <w:rPr>
          <w:rFonts w:asciiTheme="majorHAnsi" w:hAnsiTheme="majorHAnsi" w:cstheme="majorHAnsi"/>
        </w:rPr>
        <w:t>(</w:t>
      </w:r>
      <w:proofErr w:type="spellStart"/>
      <w:r w:rsidRPr="00907036">
        <w:rPr>
          <w:rFonts w:asciiTheme="majorHAnsi" w:hAnsiTheme="majorHAnsi" w:cstheme="majorHAnsi"/>
        </w:rPr>
        <w:t>i</w:t>
      </w:r>
      <w:proofErr w:type="spellEnd"/>
      <w:r w:rsidRPr="00907036">
        <w:rPr>
          <w:rFonts w:asciiTheme="majorHAnsi" w:hAnsiTheme="majorHAnsi" w:cstheme="majorHAnsi"/>
        </w:rPr>
        <w:t>) they resided in the host State in accordance with Union law before the end of the transition period and continue to reside there thereafter;</w:t>
      </w:r>
    </w:p>
    <w:p w:rsidRPr="00907036" w:rsidR="00A634A7" w:rsidP="00A634A7" w:rsidRDefault="00A634A7" w14:paraId="1BA26612" w14:textId="5DE72B46">
      <w:pPr>
        <w:pStyle w:val="Standard"/>
        <w:tabs>
          <w:tab w:val="left" w:pos="717"/>
        </w:tabs>
        <w:spacing w:before="240" w:line="360" w:lineRule="auto"/>
        <w:jc w:val="both"/>
        <w:rPr>
          <w:rFonts w:asciiTheme="majorHAnsi" w:hAnsiTheme="majorHAnsi" w:cstheme="majorHAnsi"/>
          <w:i/>
          <w:iCs/>
        </w:rPr>
      </w:pPr>
      <w:r w:rsidRPr="00907036">
        <w:rPr>
          <w:rFonts w:asciiTheme="majorHAnsi" w:hAnsiTheme="majorHAnsi" w:cstheme="majorHAnsi"/>
          <w:i/>
          <w:iCs/>
        </w:rPr>
        <w:t>Fundamental rights apply to humans not to EU citizens- that is why they are human rights</w:t>
      </w:r>
    </w:p>
    <w:p w:rsidRPr="00907036" w:rsidR="004A0267" w:rsidP="004019BA" w:rsidRDefault="00B45719" w14:paraId="6ADD29EB" w14:textId="2EA16F28">
      <w:pPr>
        <w:pStyle w:val="Standard"/>
        <w:numPr>
          <w:ilvl w:val="0"/>
          <w:numId w:val="11"/>
        </w:numPr>
        <w:tabs>
          <w:tab w:val="left" w:pos="717"/>
        </w:tabs>
        <w:spacing w:before="240" w:line="360" w:lineRule="auto"/>
        <w:jc w:val="both"/>
        <w:rPr>
          <w:rFonts w:asciiTheme="majorHAnsi" w:hAnsiTheme="majorHAnsi" w:cstheme="majorHAnsi"/>
        </w:rPr>
      </w:pPr>
      <w:r>
        <w:rPr>
          <w:rFonts w:asciiTheme="majorHAnsi" w:hAnsiTheme="majorHAnsi" w:cstheme="majorHAnsi"/>
        </w:rPr>
        <w:t>TCN</w:t>
      </w:r>
      <w:r w:rsidRPr="00907036" w:rsidR="004A0267">
        <w:rPr>
          <w:rFonts w:asciiTheme="majorHAnsi" w:hAnsiTheme="majorHAnsi" w:cstheme="majorHAnsi"/>
        </w:rPr>
        <w:t xml:space="preserve"> family members of EU citizens can rely on the Charter just as EU citizens can</w:t>
      </w:r>
      <w:r w:rsidRPr="00907036" w:rsidR="00616B95">
        <w:rPr>
          <w:rFonts w:asciiTheme="majorHAnsi" w:hAnsiTheme="majorHAnsi" w:cstheme="majorHAnsi"/>
        </w:rPr>
        <w:t>:</w:t>
      </w:r>
    </w:p>
    <w:p w:rsidRPr="00907036" w:rsidR="00616B95" w:rsidP="00616B95" w:rsidRDefault="00616B95" w14:paraId="4909AB88" w14:textId="0BCB5B5E">
      <w:pPr>
        <w:pStyle w:val="ListParagraph"/>
        <w:numPr>
          <w:ilvl w:val="1"/>
          <w:numId w:val="11"/>
        </w:numPr>
        <w:suppressAutoHyphens w:val="0"/>
        <w:autoSpaceDE w:val="0"/>
        <w:adjustRightInd w:val="0"/>
        <w:spacing w:before="120" w:line="360" w:lineRule="auto"/>
        <w:textAlignment w:val="auto"/>
        <w:rPr>
          <w:rFonts w:asciiTheme="majorHAnsi" w:hAnsiTheme="majorHAnsi" w:cstheme="majorHAnsi"/>
          <w:szCs w:val="24"/>
        </w:rPr>
      </w:pPr>
      <w:r w:rsidRPr="00907036">
        <w:rPr>
          <w:rFonts w:eastAsia="Times New Roman" w:asciiTheme="majorHAnsi" w:hAnsiTheme="majorHAnsi" w:cstheme="majorHAnsi"/>
          <w:szCs w:val="24"/>
        </w:rPr>
        <w:t xml:space="preserve">Article 1 on the right to dignity </w:t>
      </w:r>
      <w:r w:rsidR="00187727">
        <w:rPr>
          <w:rFonts w:eastAsia="Times New Roman" w:asciiTheme="majorHAnsi" w:hAnsiTheme="majorHAnsi" w:cstheme="majorHAnsi"/>
          <w:szCs w:val="24"/>
        </w:rPr>
        <w:t xml:space="preserve">is precise </w:t>
      </w:r>
      <w:r w:rsidRPr="00907036">
        <w:rPr>
          <w:rFonts w:eastAsia="Times New Roman" w:asciiTheme="majorHAnsi" w:hAnsiTheme="majorHAnsi" w:cstheme="majorHAnsi"/>
          <w:szCs w:val="24"/>
        </w:rPr>
        <w:t xml:space="preserve">in its wording: it refers to the dignity of </w:t>
      </w:r>
      <w:r w:rsidRPr="00907036">
        <w:rPr>
          <w:rFonts w:eastAsia="Times New Roman" w:asciiTheme="majorHAnsi" w:hAnsiTheme="majorHAnsi" w:cstheme="majorHAnsi"/>
          <w:b/>
          <w:bCs/>
          <w:szCs w:val="24"/>
        </w:rPr>
        <w:t>humans</w:t>
      </w:r>
      <w:r w:rsidRPr="00907036">
        <w:rPr>
          <w:rFonts w:eastAsia="Times New Roman" w:asciiTheme="majorHAnsi" w:hAnsiTheme="majorHAnsi" w:cstheme="majorHAnsi"/>
          <w:szCs w:val="24"/>
        </w:rPr>
        <w:t xml:space="preserve"> and not the dignity of EU nationals.</w:t>
      </w:r>
    </w:p>
    <w:p w:rsidRPr="00907036" w:rsidR="00616B95" w:rsidP="00616B95" w:rsidRDefault="00616B95" w14:paraId="13064A83" w14:textId="06067F42">
      <w:pPr>
        <w:pStyle w:val="ListParagraph"/>
        <w:numPr>
          <w:ilvl w:val="1"/>
          <w:numId w:val="11"/>
        </w:numPr>
        <w:suppressAutoHyphens w:val="0"/>
        <w:autoSpaceDE w:val="0"/>
        <w:adjustRightInd w:val="0"/>
        <w:spacing w:before="120" w:line="360" w:lineRule="auto"/>
        <w:textAlignment w:val="auto"/>
        <w:rPr>
          <w:rFonts w:asciiTheme="majorHAnsi" w:hAnsiTheme="majorHAnsi" w:cstheme="majorHAnsi"/>
          <w:szCs w:val="24"/>
        </w:rPr>
      </w:pPr>
      <w:r w:rsidRPr="00907036">
        <w:rPr>
          <w:rFonts w:eastAsia="Times New Roman" w:asciiTheme="majorHAnsi" w:hAnsiTheme="majorHAnsi" w:cstheme="majorHAnsi"/>
          <w:szCs w:val="24"/>
        </w:rPr>
        <w:t xml:space="preserve">The caselaw is replete with instances of the Court of Justice applying the Charter to </w:t>
      </w:r>
      <w:r w:rsidR="00B45719">
        <w:rPr>
          <w:rFonts w:eastAsia="Times New Roman" w:asciiTheme="majorHAnsi" w:hAnsiTheme="majorHAnsi" w:cstheme="majorHAnsi"/>
          <w:szCs w:val="24"/>
        </w:rPr>
        <w:t>TCNs</w:t>
      </w:r>
      <w:r w:rsidRPr="00907036">
        <w:rPr>
          <w:rFonts w:eastAsia="Times New Roman" w:asciiTheme="majorHAnsi" w:hAnsiTheme="majorHAnsi" w:cstheme="majorHAnsi"/>
          <w:szCs w:val="24"/>
        </w:rPr>
        <w:t xml:space="preserve">. </w:t>
      </w:r>
      <w:bookmarkStart w:name="para108" w:id="0"/>
      <w:r w:rsidRPr="00907036">
        <w:rPr>
          <w:rFonts w:eastAsia="Times New Roman" w:asciiTheme="majorHAnsi" w:hAnsiTheme="majorHAnsi" w:cstheme="majorHAnsi"/>
          <w:szCs w:val="24"/>
        </w:rPr>
        <w:t xml:space="preserve">For example </w:t>
      </w:r>
      <w:r w:rsidRPr="00907036">
        <w:rPr>
          <w:rFonts w:asciiTheme="majorHAnsi" w:hAnsiTheme="majorHAnsi" w:cstheme="majorHAnsi"/>
          <w:szCs w:val="24"/>
        </w:rPr>
        <w:t xml:space="preserve">Case C-233/18 </w:t>
      </w:r>
      <w:proofErr w:type="spellStart"/>
      <w:r w:rsidRPr="00907036">
        <w:rPr>
          <w:rFonts w:asciiTheme="majorHAnsi" w:hAnsiTheme="majorHAnsi" w:cstheme="majorHAnsi"/>
          <w:i/>
          <w:iCs/>
          <w:szCs w:val="24"/>
        </w:rPr>
        <w:t>Haqbin</w:t>
      </w:r>
      <w:proofErr w:type="spellEnd"/>
      <w:r w:rsidRPr="00907036">
        <w:rPr>
          <w:rFonts w:asciiTheme="majorHAnsi" w:hAnsiTheme="majorHAnsi" w:cstheme="majorHAnsi"/>
          <w:i/>
          <w:iCs/>
          <w:szCs w:val="24"/>
        </w:rPr>
        <w:t xml:space="preserve"> v </w:t>
      </w:r>
      <w:proofErr w:type="spellStart"/>
      <w:r w:rsidRPr="00907036">
        <w:rPr>
          <w:rFonts w:asciiTheme="majorHAnsi" w:hAnsiTheme="majorHAnsi" w:cstheme="majorHAnsi"/>
          <w:i/>
          <w:iCs/>
          <w:szCs w:val="24"/>
        </w:rPr>
        <w:t>Federaal</w:t>
      </w:r>
      <w:proofErr w:type="spellEnd"/>
      <w:r w:rsidRPr="00907036">
        <w:rPr>
          <w:rFonts w:asciiTheme="majorHAnsi" w:hAnsiTheme="majorHAnsi" w:cstheme="majorHAnsi"/>
          <w:i/>
          <w:iCs/>
          <w:szCs w:val="24"/>
        </w:rPr>
        <w:t xml:space="preserve"> </w:t>
      </w:r>
      <w:proofErr w:type="spellStart"/>
      <w:r w:rsidRPr="00907036">
        <w:rPr>
          <w:rFonts w:asciiTheme="majorHAnsi" w:hAnsiTheme="majorHAnsi" w:cstheme="majorHAnsi"/>
          <w:i/>
          <w:iCs/>
          <w:szCs w:val="24"/>
        </w:rPr>
        <w:t>Agentschap</w:t>
      </w:r>
      <w:proofErr w:type="spellEnd"/>
      <w:r w:rsidRPr="00907036">
        <w:rPr>
          <w:rFonts w:asciiTheme="majorHAnsi" w:hAnsiTheme="majorHAnsi" w:cstheme="majorHAnsi"/>
          <w:i/>
          <w:iCs/>
          <w:szCs w:val="24"/>
        </w:rPr>
        <w:t xml:space="preserve"> </w:t>
      </w:r>
      <w:proofErr w:type="spellStart"/>
      <w:r w:rsidRPr="00907036">
        <w:rPr>
          <w:rFonts w:asciiTheme="majorHAnsi" w:hAnsiTheme="majorHAnsi" w:cstheme="majorHAnsi"/>
          <w:i/>
          <w:iCs/>
          <w:szCs w:val="24"/>
        </w:rPr>
        <w:t>voor</w:t>
      </w:r>
      <w:proofErr w:type="spellEnd"/>
      <w:r w:rsidRPr="00907036">
        <w:rPr>
          <w:rFonts w:asciiTheme="majorHAnsi" w:hAnsiTheme="majorHAnsi" w:cstheme="majorHAnsi"/>
          <w:i/>
          <w:iCs/>
          <w:szCs w:val="24"/>
        </w:rPr>
        <w:t xml:space="preserve"> de </w:t>
      </w:r>
      <w:proofErr w:type="spellStart"/>
      <w:r w:rsidRPr="00907036">
        <w:rPr>
          <w:rFonts w:asciiTheme="majorHAnsi" w:hAnsiTheme="majorHAnsi" w:cstheme="majorHAnsi"/>
          <w:i/>
          <w:iCs/>
          <w:szCs w:val="24"/>
        </w:rPr>
        <w:t>Opvang</w:t>
      </w:r>
      <w:proofErr w:type="spellEnd"/>
      <w:r w:rsidRPr="00907036">
        <w:rPr>
          <w:rFonts w:asciiTheme="majorHAnsi" w:hAnsiTheme="majorHAnsi" w:cstheme="majorHAnsi"/>
          <w:i/>
          <w:iCs/>
          <w:szCs w:val="24"/>
        </w:rPr>
        <w:t xml:space="preserve"> van </w:t>
      </w:r>
      <w:proofErr w:type="spellStart"/>
      <w:r w:rsidRPr="00907036">
        <w:rPr>
          <w:rFonts w:asciiTheme="majorHAnsi" w:hAnsiTheme="majorHAnsi" w:cstheme="majorHAnsi"/>
          <w:i/>
          <w:iCs/>
          <w:szCs w:val="24"/>
        </w:rPr>
        <w:t>Asielzoekers</w:t>
      </w:r>
      <w:proofErr w:type="spellEnd"/>
      <w:r w:rsidRPr="00907036">
        <w:rPr>
          <w:rFonts w:asciiTheme="majorHAnsi" w:hAnsiTheme="majorHAnsi" w:cstheme="majorHAnsi"/>
          <w:i/>
          <w:iCs/>
          <w:szCs w:val="24"/>
        </w:rPr>
        <w:t xml:space="preserve"> </w:t>
      </w:r>
      <w:bookmarkEnd w:id="0"/>
      <w:r w:rsidRPr="00907036">
        <w:rPr>
          <w:rFonts w:asciiTheme="majorHAnsi" w:hAnsiTheme="majorHAnsi" w:cstheme="majorHAnsi"/>
          <w:szCs w:val="24"/>
        </w:rPr>
        <w:fldChar w:fldCharType="begin"/>
      </w:r>
      <w:r w:rsidRPr="00907036">
        <w:rPr>
          <w:rFonts w:asciiTheme="majorHAnsi" w:hAnsiTheme="majorHAnsi" w:cstheme="majorHAnsi"/>
          <w:szCs w:val="24"/>
        </w:rPr>
        <w:instrText>HYPERLINK "https://www.bailii.org/eu/cases/EUECJ/2019/C23318.html" \o "Link to BAILII version"</w:instrText>
      </w:r>
      <w:r w:rsidRPr="00907036">
        <w:rPr>
          <w:rFonts w:asciiTheme="majorHAnsi" w:hAnsiTheme="majorHAnsi" w:cstheme="majorHAnsi"/>
          <w:szCs w:val="24"/>
        </w:rPr>
      </w:r>
      <w:r w:rsidRPr="00907036">
        <w:rPr>
          <w:rFonts w:asciiTheme="majorHAnsi" w:hAnsiTheme="majorHAnsi" w:cstheme="majorHAnsi"/>
          <w:szCs w:val="24"/>
        </w:rPr>
        <w:fldChar w:fldCharType="separate"/>
      </w:r>
      <w:proofErr w:type="spellStart"/>
      <w:r w:rsidRPr="00907036">
        <w:rPr>
          <w:rStyle w:val="Hyperlink"/>
          <w:rFonts w:asciiTheme="majorHAnsi" w:hAnsiTheme="majorHAnsi" w:cstheme="majorHAnsi"/>
          <w:szCs w:val="24"/>
        </w:rPr>
        <w:t>EU:C:2019:956</w:t>
      </w:r>
      <w:proofErr w:type="spellEnd"/>
      <w:r w:rsidRPr="00907036">
        <w:rPr>
          <w:rFonts w:asciiTheme="majorHAnsi" w:hAnsiTheme="majorHAnsi" w:cstheme="majorHAnsi"/>
          <w:szCs w:val="24"/>
        </w:rPr>
        <w:fldChar w:fldCharType="end"/>
      </w:r>
      <w:r w:rsidRPr="00907036">
        <w:rPr>
          <w:rFonts w:asciiTheme="majorHAnsi" w:hAnsiTheme="majorHAnsi" w:cstheme="majorHAnsi"/>
          <w:szCs w:val="24"/>
        </w:rPr>
        <w:t xml:space="preserve"> (12</w:t>
      </w:r>
      <w:r w:rsidRPr="00907036">
        <w:rPr>
          <w:rFonts w:asciiTheme="majorHAnsi" w:hAnsiTheme="majorHAnsi" w:cstheme="majorHAnsi"/>
          <w:szCs w:val="24"/>
          <w:vertAlign w:val="superscript"/>
        </w:rPr>
        <w:t>th</w:t>
      </w:r>
      <w:r w:rsidRPr="00907036">
        <w:rPr>
          <w:rFonts w:asciiTheme="majorHAnsi" w:hAnsiTheme="majorHAnsi" w:cstheme="majorHAnsi"/>
          <w:szCs w:val="24"/>
        </w:rPr>
        <w:t xml:space="preserve"> November 2019) ("</w:t>
      </w:r>
      <w:proofErr w:type="spellStart"/>
      <w:r w:rsidRPr="00907036">
        <w:rPr>
          <w:rFonts w:asciiTheme="majorHAnsi" w:hAnsiTheme="majorHAnsi" w:cstheme="majorHAnsi"/>
          <w:i/>
          <w:iCs/>
          <w:szCs w:val="24"/>
        </w:rPr>
        <w:t>Haqbin</w:t>
      </w:r>
      <w:proofErr w:type="spellEnd"/>
      <w:r w:rsidRPr="00907036">
        <w:rPr>
          <w:rFonts w:asciiTheme="majorHAnsi" w:hAnsiTheme="majorHAnsi" w:cstheme="majorHAnsi"/>
          <w:szCs w:val="24"/>
        </w:rPr>
        <w:t>") concerned an Afghan citizen (see [18]), and the Court had no hesitation in applying article 1 in his case.</w:t>
      </w:r>
    </w:p>
    <w:p w:rsidRPr="00907036" w:rsidR="00616B95" w:rsidP="00616B95" w:rsidRDefault="00616B95" w14:paraId="73654FB7" w14:textId="382C582E">
      <w:pPr>
        <w:pStyle w:val="ListParagraph"/>
        <w:numPr>
          <w:ilvl w:val="1"/>
          <w:numId w:val="11"/>
        </w:numPr>
        <w:suppressAutoHyphens w:val="0"/>
        <w:autoSpaceDE w:val="0"/>
        <w:adjustRightInd w:val="0"/>
        <w:spacing w:before="120" w:line="360" w:lineRule="auto"/>
        <w:textAlignment w:val="auto"/>
        <w:rPr>
          <w:rFonts w:asciiTheme="majorHAnsi" w:hAnsiTheme="majorHAnsi" w:cstheme="majorHAnsi"/>
          <w:szCs w:val="24"/>
        </w:rPr>
      </w:pPr>
      <w:r w:rsidRPr="00907036">
        <w:rPr>
          <w:rFonts w:eastAsia="Times New Roman" w:asciiTheme="majorHAnsi" w:hAnsiTheme="majorHAnsi" w:cstheme="majorHAnsi"/>
          <w:szCs w:val="24"/>
        </w:rPr>
        <w:t xml:space="preserve">EU legislation is also full of instances where the EU legislature has made express that the instrument, which affects the rights of </w:t>
      </w:r>
      <w:r w:rsidR="00B45719">
        <w:rPr>
          <w:rFonts w:eastAsia="Times New Roman" w:asciiTheme="majorHAnsi" w:hAnsiTheme="majorHAnsi" w:cstheme="majorHAnsi"/>
          <w:szCs w:val="24"/>
        </w:rPr>
        <w:t>TCN</w:t>
      </w:r>
      <w:r w:rsidRPr="00907036">
        <w:rPr>
          <w:rFonts w:eastAsia="Times New Roman" w:asciiTheme="majorHAnsi" w:hAnsiTheme="majorHAnsi" w:cstheme="majorHAnsi"/>
          <w:szCs w:val="24"/>
        </w:rPr>
        <w:t>s, is drafted to respect the principles of fundamental rights in the Charter (see for example recital 3 to Council Directive 2003/9/EC (“the Reception Directive”).</w:t>
      </w:r>
    </w:p>
    <w:p w:rsidRPr="00907036" w:rsidR="00616B95" w:rsidP="004019BA" w:rsidRDefault="00616B95" w14:paraId="70D57C2D" w14:textId="456DB631">
      <w:pPr>
        <w:pStyle w:val="Standard"/>
        <w:numPr>
          <w:ilvl w:val="0"/>
          <w:numId w:val="11"/>
        </w:numPr>
        <w:tabs>
          <w:tab w:val="left" w:pos="717"/>
        </w:tabs>
        <w:spacing w:before="240" w:line="360" w:lineRule="auto"/>
        <w:jc w:val="both"/>
        <w:rPr>
          <w:rFonts w:asciiTheme="majorHAnsi" w:hAnsiTheme="majorHAnsi" w:cstheme="majorHAnsi"/>
        </w:rPr>
      </w:pPr>
      <w:r w:rsidRPr="00907036">
        <w:rPr>
          <w:rFonts w:asciiTheme="majorHAnsi" w:hAnsiTheme="majorHAnsi" w:cstheme="majorHAnsi"/>
        </w:rPr>
        <w:t xml:space="preserve">The point about fundamental human rights is that, where they apply, they apply to all humans in that situation. </w:t>
      </w:r>
    </w:p>
    <w:p w:rsidRPr="00907036" w:rsidR="00B45719" w:rsidP="000F391D" w:rsidRDefault="00B45719" w14:paraId="5E8A798F" w14:textId="77777777">
      <w:pPr>
        <w:pStyle w:val="Standard"/>
        <w:tabs>
          <w:tab w:val="left" w:pos="717"/>
        </w:tabs>
        <w:spacing w:before="240" w:line="360" w:lineRule="auto"/>
        <w:jc w:val="both"/>
        <w:rPr>
          <w:rFonts w:asciiTheme="majorHAnsi" w:hAnsiTheme="majorHAnsi" w:cstheme="majorHAnsi"/>
          <w:i/>
          <w:iCs/>
        </w:rPr>
      </w:pPr>
    </w:p>
    <w:p w:rsidRPr="00907036" w:rsidR="000F391D" w:rsidP="000F391D" w:rsidRDefault="000F391D" w14:paraId="33707374" w14:textId="29DF30CB">
      <w:pPr>
        <w:pStyle w:val="Standard"/>
        <w:tabs>
          <w:tab w:val="left" w:pos="717"/>
        </w:tabs>
        <w:spacing w:before="240" w:line="360" w:lineRule="auto"/>
        <w:jc w:val="both"/>
        <w:rPr>
          <w:rFonts w:asciiTheme="majorHAnsi" w:hAnsiTheme="majorHAnsi" w:cstheme="majorHAnsi"/>
          <w:i/>
          <w:iCs/>
        </w:rPr>
      </w:pPr>
      <w:r w:rsidRPr="00907036">
        <w:rPr>
          <w:rFonts w:asciiTheme="majorHAnsi" w:hAnsiTheme="majorHAnsi" w:cstheme="majorHAnsi"/>
          <w:i/>
          <w:iCs/>
        </w:rPr>
        <w:t xml:space="preserve">SSWP position inconsistent with </w:t>
      </w:r>
      <w:r w:rsidRPr="00907036" w:rsidR="00B7108A">
        <w:rPr>
          <w:rFonts w:asciiTheme="majorHAnsi" w:hAnsiTheme="majorHAnsi" w:cstheme="majorHAnsi"/>
          <w:i/>
          <w:iCs/>
        </w:rPr>
        <w:t>SSWP v AT</w:t>
      </w:r>
    </w:p>
    <w:p w:rsidRPr="00907036" w:rsidR="007F731C" w:rsidP="004019BA" w:rsidRDefault="003716B2" w14:paraId="28F24952" w14:textId="087A0A47">
      <w:pPr>
        <w:pStyle w:val="Standard"/>
        <w:numPr>
          <w:ilvl w:val="0"/>
          <w:numId w:val="11"/>
        </w:numPr>
        <w:tabs>
          <w:tab w:val="left" w:pos="717"/>
        </w:tabs>
        <w:spacing w:before="240" w:line="360" w:lineRule="auto"/>
        <w:jc w:val="both"/>
        <w:rPr>
          <w:rFonts w:asciiTheme="majorHAnsi" w:hAnsiTheme="majorHAnsi" w:cstheme="majorHAnsi"/>
        </w:rPr>
      </w:pPr>
      <w:r w:rsidRPr="00907036">
        <w:rPr>
          <w:rFonts w:asciiTheme="majorHAnsi" w:hAnsiTheme="majorHAnsi" w:cstheme="majorHAnsi"/>
        </w:rPr>
        <w:t xml:space="preserve">In </w:t>
      </w:r>
      <w:r w:rsidRPr="00907036">
        <w:rPr>
          <w:rFonts w:asciiTheme="majorHAnsi" w:hAnsiTheme="majorHAnsi" w:cstheme="majorHAnsi"/>
          <w:i/>
          <w:iCs/>
        </w:rPr>
        <w:t xml:space="preserve">SSWP v AT </w:t>
      </w:r>
      <w:r w:rsidRPr="00907036">
        <w:rPr>
          <w:rFonts w:asciiTheme="majorHAnsi" w:hAnsiTheme="majorHAnsi" w:cstheme="majorHAnsi"/>
        </w:rPr>
        <w:t xml:space="preserve">the Court of Appeal </w:t>
      </w:r>
      <w:r w:rsidRPr="00907036" w:rsidR="007F731C">
        <w:rPr>
          <w:rFonts w:asciiTheme="majorHAnsi" w:hAnsiTheme="majorHAnsi" w:cstheme="majorHAnsi"/>
        </w:rPr>
        <w:t xml:space="preserve">upheld the decision of the three judge panel of the Upper Tribunal in </w:t>
      </w:r>
      <w:r w:rsidRPr="00907036" w:rsidR="007F731C">
        <w:rPr>
          <w:rFonts w:asciiTheme="majorHAnsi" w:hAnsiTheme="majorHAnsi" w:cstheme="majorHAnsi"/>
          <w:i/>
          <w:iCs/>
        </w:rPr>
        <w:t xml:space="preserve">SSWP v AT (AIRE Centre and IMA Intervening) </w:t>
      </w:r>
      <w:r w:rsidRPr="00907036" w:rsidR="007F731C">
        <w:rPr>
          <w:rFonts w:asciiTheme="majorHAnsi" w:hAnsiTheme="majorHAnsi" w:cstheme="majorHAnsi"/>
        </w:rPr>
        <w:t xml:space="preserve">[2022] UKUT 330 (AAC). </w:t>
      </w:r>
      <w:r w:rsidR="00187727">
        <w:rPr>
          <w:rFonts w:asciiTheme="majorHAnsi" w:hAnsiTheme="majorHAnsi" w:cstheme="majorHAnsi"/>
        </w:rPr>
        <w:t>T</w:t>
      </w:r>
      <w:r w:rsidRPr="00907036" w:rsidR="007F731C">
        <w:rPr>
          <w:rFonts w:asciiTheme="majorHAnsi" w:hAnsiTheme="majorHAnsi" w:cstheme="majorHAnsi"/>
        </w:rPr>
        <w:t xml:space="preserve">he </w:t>
      </w:r>
      <w:r w:rsidR="00187727">
        <w:rPr>
          <w:rFonts w:asciiTheme="majorHAnsi" w:hAnsiTheme="majorHAnsi" w:cstheme="majorHAnsi"/>
        </w:rPr>
        <w:t xml:space="preserve">way that decision is reasoned demonstrates its applicability </w:t>
      </w:r>
      <w:r w:rsidRPr="00907036" w:rsidR="007F731C">
        <w:rPr>
          <w:rFonts w:asciiTheme="majorHAnsi" w:hAnsiTheme="majorHAnsi" w:cstheme="majorHAnsi"/>
        </w:rPr>
        <w:t xml:space="preserve">to a </w:t>
      </w:r>
      <w:r w:rsidR="00B45719">
        <w:rPr>
          <w:rFonts w:asciiTheme="majorHAnsi" w:hAnsiTheme="majorHAnsi" w:cstheme="majorHAnsi"/>
        </w:rPr>
        <w:t>TCN</w:t>
      </w:r>
      <w:r w:rsidRPr="00907036" w:rsidR="007F731C">
        <w:rPr>
          <w:rFonts w:asciiTheme="majorHAnsi" w:hAnsiTheme="majorHAnsi" w:cstheme="majorHAnsi"/>
        </w:rPr>
        <w:t xml:space="preserve"> with PSS.</w:t>
      </w:r>
    </w:p>
    <w:p w:rsidRPr="00907036" w:rsidR="007F731C" w:rsidP="004019BA" w:rsidRDefault="007F731C" w14:paraId="46E2831C" w14:textId="61A2F4B9">
      <w:pPr>
        <w:pStyle w:val="Standard"/>
        <w:numPr>
          <w:ilvl w:val="0"/>
          <w:numId w:val="11"/>
        </w:numPr>
        <w:tabs>
          <w:tab w:val="left" w:pos="717"/>
        </w:tabs>
        <w:spacing w:before="240" w:line="360" w:lineRule="auto"/>
        <w:jc w:val="both"/>
        <w:rPr>
          <w:rFonts w:asciiTheme="majorHAnsi" w:hAnsiTheme="majorHAnsi" w:cstheme="majorHAnsi"/>
        </w:rPr>
      </w:pPr>
      <w:r w:rsidRPr="00907036">
        <w:rPr>
          <w:rFonts w:asciiTheme="majorHAnsi" w:hAnsiTheme="majorHAnsi" w:cstheme="majorHAnsi"/>
        </w:rPr>
        <w:t xml:space="preserve">At §93 the Upper Tribunal explained </w:t>
      </w:r>
      <w:r w:rsidRPr="00907036" w:rsidR="00C7673D">
        <w:rPr>
          <w:rFonts w:asciiTheme="majorHAnsi" w:hAnsiTheme="majorHAnsi" w:cstheme="majorHAnsi"/>
        </w:rPr>
        <w:t xml:space="preserve">the steps via which the </w:t>
      </w:r>
      <w:r w:rsidRPr="00907036">
        <w:rPr>
          <w:rFonts w:asciiTheme="majorHAnsi" w:hAnsiTheme="majorHAnsi" w:cstheme="majorHAnsi"/>
        </w:rPr>
        <w:t xml:space="preserve">Court of Justice in Case C-709/20 </w:t>
      </w:r>
      <w:r w:rsidRPr="00907036">
        <w:rPr>
          <w:rFonts w:asciiTheme="majorHAnsi" w:hAnsiTheme="majorHAnsi" w:cstheme="majorHAnsi"/>
          <w:i/>
          <w:iCs/>
        </w:rPr>
        <w:t xml:space="preserve">CG v </w:t>
      </w:r>
      <w:proofErr w:type="spellStart"/>
      <w:r w:rsidRPr="00907036">
        <w:rPr>
          <w:rFonts w:asciiTheme="majorHAnsi" w:hAnsiTheme="majorHAnsi" w:cstheme="majorHAnsi"/>
          <w:i/>
          <w:iCs/>
        </w:rPr>
        <w:t>DfCNI</w:t>
      </w:r>
      <w:proofErr w:type="spellEnd"/>
      <w:r w:rsidRPr="00907036">
        <w:rPr>
          <w:rFonts w:asciiTheme="majorHAnsi" w:hAnsiTheme="majorHAnsi" w:cstheme="majorHAnsi"/>
          <w:i/>
          <w:iCs/>
        </w:rPr>
        <w:t xml:space="preserve"> </w:t>
      </w:r>
      <w:r w:rsidRPr="00907036">
        <w:rPr>
          <w:rFonts w:asciiTheme="majorHAnsi" w:hAnsiTheme="majorHAnsi" w:cstheme="majorHAnsi"/>
        </w:rPr>
        <w:t xml:space="preserve">[2022] 1 </w:t>
      </w:r>
      <w:proofErr w:type="spellStart"/>
      <w:r w:rsidRPr="00907036">
        <w:rPr>
          <w:rFonts w:asciiTheme="majorHAnsi" w:hAnsiTheme="majorHAnsi" w:cstheme="majorHAnsi"/>
        </w:rPr>
        <w:t>CMLR</w:t>
      </w:r>
      <w:proofErr w:type="spellEnd"/>
      <w:r w:rsidRPr="00907036">
        <w:rPr>
          <w:rFonts w:asciiTheme="majorHAnsi" w:hAnsiTheme="majorHAnsi" w:cstheme="majorHAnsi"/>
        </w:rPr>
        <w:t xml:space="preserve"> 26</w:t>
      </w:r>
      <w:r w:rsidRPr="00907036" w:rsidR="00C7673D">
        <w:rPr>
          <w:rFonts w:asciiTheme="majorHAnsi" w:hAnsiTheme="majorHAnsi" w:cstheme="majorHAnsi"/>
        </w:rPr>
        <w:t xml:space="preserve"> arrived at the conclusion that </w:t>
      </w:r>
      <w:r w:rsidRPr="00907036" w:rsidR="001704EA">
        <w:rPr>
          <w:rFonts w:asciiTheme="majorHAnsi" w:hAnsiTheme="majorHAnsi" w:cstheme="majorHAnsi"/>
        </w:rPr>
        <w:t>EU law applied to CG when her claim for UC was being decided</w:t>
      </w:r>
      <w:r w:rsidRPr="00907036" w:rsidR="00E01204">
        <w:rPr>
          <w:rFonts w:asciiTheme="majorHAnsi" w:hAnsiTheme="majorHAnsi" w:cstheme="majorHAnsi"/>
        </w:rPr>
        <w:t>:</w:t>
      </w:r>
    </w:p>
    <w:p w:rsidRPr="00907036" w:rsidR="00C7673D" w:rsidP="00B45719" w:rsidRDefault="00C7673D" w14:paraId="7ACD82A8" w14:textId="72774836">
      <w:pPr>
        <w:pStyle w:val="Standard"/>
        <w:tabs>
          <w:tab w:val="left" w:pos="717"/>
        </w:tabs>
        <w:spacing w:before="240"/>
        <w:ind w:left="2127"/>
        <w:jc w:val="both"/>
        <w:rPr>
          <w:rFonts w:asciiTheme="majorHAnsi" w:hAnsiTheme="majorHAnsi" w:cstheme="majorHAnsi"/>
        </w:rPr>
      </w:pPr>
      <w:r w:rsidRPr="00907036">
        <w:rPr>
          <w:rFonts w:asciiTheme="majorHAnsi" w:hAnsiTheme="majorHAnsi" w:cstheme="majorHAnsi"/>
        </w:rPr>
        <w:t>93</w:t>
      </w:r>
      <w:r w:rsidRPr="00907036" w:rsidR="0010714D">
        <w:rPr>
          <w:rFonts w:asciiTheme="majorHAnsi" w:hAnsiTheme="majorHAnsi" w:cstheme="majorHAnsi"/>
        </w:rPr>
        <w:t>.</w:t>
      </w:r>
      <w:r w:rsidRPr="00907036">
        <w:rPr>
          <w:rFonts w:asciiTheme="majorHAnsi" w:hAnsiTheme="majorHAnsi" w:cstheme="majorHAnsi"/>
        </w:rPr>
        <w:t xml:space="preserve"> The steps necessary to reach the conclusion that CG’s situation fell within the material scope of EU law were that: (a) CG had exercised her Article 21 TFEU right as an EU citizen when she came to the UK; (b) in granting CG a right of residence on conditions more favourable than those in the CRD, the UK was implementing Article 21, by virtue of the WA; and (c) Article 21 and 18 continued to apply to her at the time of her application for UC, by virtue of the WA </w:t>
      </w:r>
    </w:p>
    <w:p w:rsidRPr="00907036" w:rsidR="0000140F" w:rsidP="004019BA" w:rsidRDefault="00E01204" w14:paraId="69F7DDE3" w14:textId="3F62B379">
      <w:pPr>
        <w:pStyle w:val="Standard"/>
        <w:numPr>
          <w:ilvl w:val="0"/>
          <w:numId w:val="11"/>
        </w:numPr>
        <w:tabs>
          <w:tab w:val="left" w:pos="717"/>
        </w:tabs>
        <w:spacing w:before="240" w:line="360" w:lineRule="auto"/>
        <w:jc w:val="both"/>
        <w:rPr>
          <w:rFonts w:asciiTheme="majorHAnsi" w:hAnsiTheme="majorHAnsi" w:cstheme="majorHAnsi"/>
        </w:rPr>
      </w:pPr>
      <w:r w:rsidRPr="00907036">
        <w:rPr>
          <w:rFonts w:asciiTheme="majorHAnsi" w:hAnsiTheme="majorHAnsi" w:cstheme="majorHAnsi"/>
        </w:rPr>
        <w:t>The Upper Tribunal then went on to consider whether the same was true for AT</w:t>
      </w:r>
      <w:r w:rsidRPr="00907036" w:rsidR="0000140F">
        <w:rPr>
          <w:rFonts w:asciiTheme="majorHAnsi" w:hAnsiTheme="majorHAnsi" w:cstheme="majorHAnsi"/>
        </w:rPr>
        <w:t>. It</w:t>
      </w:r>
      <w:r w:rsidRPr="00907036" w:rsidR="003139FE">
        <w:rPr>
          <w:rFonts w:asciiTheme="majorHAnsi" w:hAnsiTheme="majorHAnsi" w:cstheme="majorHAnsi"/>
        </w:rPr>
        <w:t xml:space="preserve"> posed the question it needed to answer as follows</w:t>
      </w:r>
      <w:r w:rsidRPr="00907036" w:rsidR="0000140F">
        <w:rPr>
          <w:rFonts w:asciiTheme="majorHAnsi" w:hAnsiTheme="majorHAnsi" w:cstheme="majorHAnsi"/>
        </w:rPr>
        <w:t>:</w:t>
      </w:r>
    </w:p>
    <w:p w:rsidR="00864FEF" w:rsidP="004019BA" w:rsidRDefault="00864FEF" w14:paraId="75E6FEEF" w14:textId="6761B314">
      <w:pPr>
        <w:pStyle w:val="Standard"/>
        <w:tabs>
          <w:tab w:val="left" w:pos="717"/>
        </w:tabs>
        <w:spacing w:before="240"/>
        <w:ind w:left="2126"/>
        <w:jc w:val="both"/>
        <w:rPr>
          <w:rFonts w:asciiTheme="majorHAnsi" w:hAnsiTheme="majorHAnsi" w:cstheme="majorHAnsi"/>
        </w:rPr>
      </w:pPr>
      <w:r w:rsidRPr="00907036">
        <w:rPr>
          <w:rFonts w:asciiTheme="majorHAnsi" w:hAnsiTheme="majorHAnsi" w:cstheme="majorHAnsi"/>
        </w:rPr>
        <w:t xml:space="preserve">95. AT’s situation is similar to </w:t>
      </w:r>
      <w:proofErr w:type="gramStart"/>
      <w:r w:rsidRPr="00907036">
        <w:rPr>
          <w:rFonts w:asciiTheme="majorHAnsi" w:hAnsiTheme="majorHAnsi" w:cstheme="majorHAnsi"/>
        </w:rPr>
        <w:t>CG’s</w:t>
      </w:r>
      <w:proofErr w:type="gramEnd"/>
      <w:r w:rsidRPr="00907036">
        <w:rPr>
          <w:rFonts w:asciiTheme="majorHAnsi" w:hAnsiTheme="majorHAnsi" w:cstheme="majorHAnsi"/>
        </w:rPr>
        <w:t xml:space="preserve"> in that she moved to the UK and was granted PSS at a time when she enjoyed rights under Article 21 TFEU, as made applicable by the WA. The difference is that she applied for UC after the end of the transition period. Everyone agrees that, even after the end of the transition period, the WA made some EU law applicable. The question for us is whether the changes that occurred at the end of the transition period were such that the Charter was no longer applicable, as it would have been if she had made her application just over a month earlier.</w:t>
      </w:r>
    </w:p>
    <w:p w:rsidRPr="00907036" w:rsidR="006D2553" w:rsidP="004019BA" w:rsidRDefault="006D2553" w14:paraId="70081271" w14:textId="77777777">
      <w:pPr>
        <w:pStyle w:val="Standard"/>
        <w:tabs>
          <w:tab w:val="left" w:pos="717"/>
        </w:tabs>
        <w:spacing w:before="240"/>
        <w:ind w:left="2126"/>
        <w:jc w:val="both"/>
        <w:rPr>
          <w:rFonts w:asciiTheme="majorHAnsi" w:hAnsiTheme="majorHAnsi" w:cstheme="majorHAnsi"/>
        </w:rPr>
      </w:pPr>
    </w:p>
    <w:p w:rsidRPr="00907036" w:rsidR="003716B2" w:rsidP="004019BA" w:rsidRDefault="00DD2DAE" w14:paraId="3D3EE2E3" w14:textId="14076321">
      <w:pPr>
        <w:pStyle w:val="Standard"/>
        <w:numPr>
          <w:ilvl w:val="0"/>
          <w:numId w:val="11"/>
        </w:numPr>
        <w:tabs>
          <w:tab w:val="left" w:pos="717"/>
        </w:tabs>
        <w:spacing w:before="240" w:line="360" w:lineRule="auto"/>
        <w:jc w:val="both"/>
        <w:rPr>
          <w:rFonts w:asciiTheme="majorHAnsi" w:hAnsiTheme="majorHAnsi" w:cstheme="majorHAnsi"/>
        </w:rPr>
      </w:pPr>
      <w:r w:rsidRPr="00907036">
        <w:rPr>
          <w:rFonts w:asciiTheme="majorHAnsi" w:hAnsiTheme="majorHAnsi" w:cstheme="majorHAnsi"/>
        </w:rPr>
        <w:t>At §§95-102 t</w:t>
      </w:r>
      <w:r w:rsidRPr="00907036" w:rsidR="00F73905">
        <w:rPr>
          <w:rFonts w:asciiTheme="majorHAnsi" w:hAnsiTheme="majorHAnsi" w:cstheme="majorHAnsi"/>
        </w:rPr>
        <w:t xml:space="preserve">he Upper Tribunal </w:t>
      </w:r>
      <w:r w:rsidRPr="00907036" w:rsidR="001F44DF">
        <w:rPr>
          <w:rFonts w:asciiTheme="majorHAnsi" w:hAnsiTheme="majorHAnsi" w:cstheme="majorHAnsi"/>
        </w:rPr>
        <w:t xml:space="preserve">first dealt with the Secretary of State’s argument that article 13 of the Withdrawal Agreement did not make </w:t>
      </w:r>
      <w:r w:rsidRPr="00907036" w:rsidR="00DF1F35">
        <w:rPr>
          <w:rFonts w:asciiTheme="majorHAnsi" w:hAnsiTheme="majorHAnsi" w:cstheme="majorHAnsi"/>
        </w:rPr>
        <w:t xml:space="preserve">article 21 TFEU applicable (and hence did not </w:t>
      </w:r>
      <w:r w:rsidRPr="00907036" w:rsidR="003138FF">
        <w:rPr>
          <w:rFonts w:asciiTheme="majorHAnsi" w:hAnsiTheme="majorHAnsi" w:cstheme="majorHAnsi"/>
        </w:rPr>
        <w:t xml:space="preserve">lead to the same result as </w:t>
      </w:r>
      <w:r w:rsidRPr="00907036" w:rsidR="003138FF">
        <w:rPr>
          <w:rFonts w:asciiTheme="majorHAnsi" w:hAnsiTheme="majorHAnsi" w:cstheme="majorHAnsi"/>
          <w:i/>
          <w:iCs/>
        </w:rPr>
        <w:t>CG</w:t>
      </w:r>
      <w:r w:rsidRPr="00907036" w:rsidR="003138FF">
        <w:rPr>
          <w:rFonts w:asciiTheme="majorHAnsi" w:hAnsiTheme="majorHAnsi" w:cstheme="majorHAnsi"/>
        </w:rPr>
        <w:t xml:space="preserve">). </w:t>
      </w:r>
      <w:r w:rsidRPr="00907036" w:rsidR="00E760D0">
        <w:rPr>
          <w:rFonts w:asciiTheme="majorHAnsi" w:hAnsiTheme="majorHAnsi" w:cstheme="majorHAnsi"/>
        </w:rPr>
        <w:t>The Secretary of State argued that article 13</w:t>
      </w:r>
      <w:r w:rsidRPr="00907036" w:rsidR="001F7851">
        <w:rPr>
          <w:rFonts w:asciiTheme="majorHAnsi" w:hAnsiTheme="majorHAnsi" w:cstheme="majorHAnsi"/>
        </w:rPr>
        <w:t>(1)</w:t>
      </w:r>
      <w:r w:rsidRPr="00907036" w:rsidR="00E760D0">
        <w:rPr>
          <w:rFonts w:asciiTheme="majorHAnsi" w:hAnsiTheme="majorHAnsi" w:cstheme="majorHAnsi"/>
        </w:rPr>
        <w:t xml:space="preserve"> created a </w:t>
      </w:r>
      <w:r w:rsidRPr="00907036" w:rsidR="00E760D0">
        <w:rPr>
          <w:rFonts w:asciiTheme="majorHAnsi" w:hAnsiTheme="majorHAnsi" w:cstheme="majorHAnsi"/>
          <w:i/>
          <w:iCs/>
        </w:rPr>
        <w:t xml:space="preserve">sui generis </w:t>
      </w:r>
      <w:r w:rsidRPr="00907036" w:rsidR="00E760D0">
        <w:rPr>
          <w:rFonts w:asciiTheme="majorHAnsi" w:hAnsiTheme="majorHAnsi" w:cstheme="majorHAnsi"/>
        </w:rPr>
        <w:t xml:space="preserve">right rather than </w:t>
      </w:r>
      <w:r w:rsidRPr="00907036" w:rsidR="001F7851">
        <w:rPr>
          <w:rFonts w:asciiTheme="majorHAnsi" w:hAnsiTheme="majorHAnsi" w:cstheme="majorHAnsi"/>
        </w:rPr>
        <w:t>applying article 21 (it only applied, it was said, the limitations in the TFEU and not the rights). The Upper Tribunal rejected that argument in part bec</w:t>
      </w:r>
      <w:r w:rsidRPr="00907036" w:rsidR="0065192C">
        <w:rPr>
          <w:rFonts w:asciiTheme="majorHAnsi" w:hAnsiTheme="majorHAnsi" w:cstheme="majorHAnsi"/>
        </w:rPr>
        <w:t xml:space="preserve">ause, the language of article 13(2) and (3) (the latter of which applies to </w:t>
      </w:r>
      <w:r w:rsidR="00B45719">
        <w:rPr>
          <w:rFonts w:asciiTheme="majorHAnsi" w:hAnsiTheme="majorHAnsi" w:cstheme="majorHAnsi"/>
        </w:rPr>
        <w:t>TCN</w:t>
      </w:r>
      <w:r w:rsidRPr="00907036" w:rsidR="0065192C">
        <w:rPr>
          <w:rFonts w:asciiTheme="majorHAnsi" w:hAnsiTheme="majorHAnsi" w:cstheme="majorHAnsi"/>
        </w:rPr>
        <w:t xml:space="preserve">s </w:t>
      </w:r>
      <w:r w:rsidRPr="00907036" w:rsidR="00546E09">
        <w:rPr>
          <w:rFonts w:asciiTheme="majorHAnsi" w:hAnsiTheme="majorHAnsi" w:cstheme="majorHAnsi"/>
        </w:rPr>
        <w:t>as shown above) made it very clear that these conferred the right in article 21 and not just the limitations. §97 states:</w:t>
      </w:r>
    </w:p>
    <w:p w:rsidR="00052A42" w:rsidP="004019BA" w:rsidRDefault="00052A42" w14:paraId="4643E2DC" w14:textId="77B85FE3">
      <w:pPr>
        <w:pStyle w:val="Standard"/>
        <w:tabs>
          <w:tab w:val="left" w:pos="717"/>
        </w:tabs>
        <w:spacing w:before="240"/>
        <w:ind w:left="2126"/>
        <w:jc w:val="both"/>
        <w:rPr>
          <w:rFonts w:asciiTheme="majorHAnsi" w:hAnsiTheme="majorHAnsi" w:cstheme="majorHAnsi"/>
        </w:rPr>
      </w:pPr>
      <w:r w:rsidRPr="00907036">
        <w:rPr>
          <w:rFonts w:asciiTheme="majorHAnsi" w:hAnsiTheme="majorHAnsi" w:cstheme="majorHAnsi"/>
        </w:rPr>
        <w:t>97. First, a comparison of the language of Articles 13(1), (2) and (3) is instructive. The language of Article 13(1) might be thought to lend some support to SSWP’s argument, if taken on its own. However, the language of Article 13(2) (“shall have the right to reside in the host state as set out in Article 21”) and (3) (“shall have the right to reside in the host state under Article 21”) makes it clear that the rights being conferred by those provisions on family members are modified forms of the Article 21 TFEU right. It would make little sense for the WA to be making Article 21 TFEU applicable (in modified form) to family members, but not to the person from whose status their rights are derived.</w:t>
      </w:r>
    </w:p>
    <w:p w:rsidRPr="00907036" w:rsidR="006D2553" w:rsidP="004019BA" w:rsidRDefault="006D2553" w14:paraId="3C984C66" w14:textId="77777777">
      <w:pPr>
        <w:pStyle w:val="Standard"/>
        <w:tabs>
          <w:tab w:val="left" w:pos="717"/>
        </w:tabs>
        <w:spacing w:before="240"/>
        <w:ind w:left="2126"/>
        <w:jc w:val="both"/>
        <w:rPr>
          <w:rFonts w:asciiTheme="majorHAnsi" w:hAnsiTheme="majorHAnsi" w:cstheme="majorHAnsi"/>
        </w:rPr>
      </w:pPr>
    </w:p>
    <w:p w:rsidRPr="00907036" w:rsidR="00233B67" w:rsidP="004019BA" w:rsidRDefault="005B163B" w14:paraId="799CF03A" w14:textId="77777777">
      <w:pPr>
        <w:pStyle w:val="Standard"/>
        <w:numPr>
          <w:ilvl w:val="0"/>
          <w:numId w:val="11"/>
        </w:numPr>
        <w:tabs>
          <w:tab w:val="left" w:pos="717"/>
        </w:tabs>
        <w:spacing w:before="240" w:line="360" w:lineRule="auto"/>
        <w:jc w:val="both"/>
        <w:rPr>
          <w:rFonts w:asciiTheme="majorHAnsi" w:hAnsiTheme="majorHAnsi" w:cstheme="majorHAnsi"/>
        </w:rPr>
      </w:pPr>
      <w:r w:rsidRPr="00907036">
        <w:rPr>
          <w:rFonts w:asciiTheme="majorHAnsi" w:hAnsiTheme="majorHAnsi" w:cstheme="majorHAnsi"/>
        </w:rPr>
        <w:t xml:space="preserve">Thus, in reaching its conclusion on whether article 13(1) WA conferred article 21 TFEU rights </w:t>
      </w:r>
      <w:r w:rsidRPr="00907036" w:rsidR="00E13D03">
        <w:rPr>
          <w:rFonts w:asciiTheme="majorHAnsi" w:hAnsiTheme="majorHAnsi" w:cstheme="majorHAnsi"/>
        </w:rPr>
        <w:t>on EU nationals the Upper Tribunal states that it was obvious that article 13(3) (the provision at issue for the Appellant) did so.</w:t>
      </w:r>
    </w:p>
    <w:p w:rsidRPr="00907036" w:rsidR="00233B67" w:rsidP="004019BA" w:rsidRDefault="009B0833" w14:paraId="20F92849" w14:textId="3F7E733E">
      <w:pPr>
        <w:pStyle w:val="Standard"/>
        <w:numPr>
          <w:ilvl w:val="0"/>
          <w:numId w:val="11"/>
        </w:numPr>
        <w:tabs>
          <w:tab w:val="left" w:pos="717"/>
        </w:tabs>
        <w:spacing w:before="240" w:line="360" w:lineRule="auto"/>
        <w:jc w:val="both"/>
        <w:rPr>
          <w:rFonts w:asciiTheme="majorHAnsi" w:hAnsiTheme="majorHAnsi" w:cstheme="majorHAnsi"/>
        </w:rPr>
      </w:pPr>
      <w:r w:rsidRPr="00907036">
        <w:rPr>
          <w:rFonts w:asciiTheme="majorHAnsi" w:hAnsiTheme="majorHAnsi" w:cstheme="majorHAnsi"/>
        </w:rPr>
        <w:t xml:space="preserve">That same point is </w:t>
      </w:r>
      <w:r w:rsidRPr="00907036" w:rsidR="006B70FC">
        <w:rPr>
          <w:rFonts w:asciiTheme="majorHAnsi" w:hAnsiTheme="majorHAnsi" w:cstheme="majorHAnsi"/>
        </w:rPr>
        <w:t>present in the</w:t>
      </w:r>
      <w:r w:rsidRPr="00907036" w:rsidR="00233B67">
        <w:rPr>
          <w:rFonts w:asciiTheme="majorHAnsi" w:hAnsiTheme="majorHAnsi" w:cstheme="majorHAnsi"/>
        </w:rPr>
        <w:t xml:space="preserve"> Court of Appeal’s judgment in </w:t>
      </w:r>
      <w:r w:rsidRPr="00907036" w:rsidR="00233B67">
        <w:rPr>
          <w:rFonts w:asciiTheme="majorHAnsi" w:hAnsiTheme="majorHAnsi" w:cstheme="majorHAnsi"/>
          <w:i/>
          <w:iCs/>
        </w:rPr>
        <w:t>SSWP v AT</w:t>
      </w:r>
      <w:r w:rsidRPr="00907036" w:rsidR="006B70FC">
        <w:rPr>
          <w:rFonts w:asciiTheme="majorHAnsi" w:hAnsiTheme="majorHAnsi" w:cstheme="majorHAnsi"/>
          <w:i/>
          <w:iCs/>
        </w:rPr>
        <w:t>.</w:t>
      </w:r>
      <w:r w:rsidRPr="00907036" w:rsidR="00233B67">
        <w:rPr>
          <w:rFonts w:asciiTheme="majorHAnsi" w:hAnsiTheme="majorHAnsi" w:cstheme="majorHAnsi"/>
        </w:rPr>
        <w:t xml:space="preserve"> </w:t>
      </w:r>
      <w:r w:rsidR="00187727">
        <w:rPr>
          <w:rFonts w:asciiTheme="majorHAnsi" w:hAnsiTheme="majorHAnsi" w:cstheme="majorHAnsi"/>
        </w:rPr>
        <w:t>See</w:t>
      </w:r>
      <w:r w:rsidRPr="00907036" w:rsidR="00233B67">
        <w:rPr>
          <w:rFonts w:asciiTheme="majorHAnsi" w:hAnsiTheme="majorHAnsi" w:cstheme="majorHAnsi"/>
        </w:rPr>
        <w:t xml:space="preserve"> </w:t>
      </w:r>
      <w:r w:rsidRPr="00907036" w:rsidR="006B70FC">
        <w:rPr>
          <w:rFonts w:asciiTheme="majorHAnsi" w:hAnsiTheme="majorHAnsi" w:cstheme="majorHAnsi"/>
        </w:rPr>
        <w:t>§§</w:t>
      </w:r>
      <w:r w:rsidRPr="00907036" w:rsidR="00233B67">
        <w:rPr>
          <w:rFonts w:asciiTheme="majorHAnsi" w:hAnsiTheme="majorHAnsi" w:cstheme="majorHAnsi"/>
        </w:rPr>
        <w:t>93-95:</w:t>
      </w:r>
    </w:p>
    <w:p w:rsidRPr="00907036" w:rsidR="00233B67" w:rsidP="004019BA" w:rsidRDefault="00233B67" w14:paraId="2808EEED" w14:textId="77777777">
      <w:pPr>
        <w:spacing w:before="240" w:after="0"/>
        <w:ind w:left="2127" w:firstLine="0"/>
        <w:rPr>
          <w:rFonts w:eastAsia="Times New Roman" w:asciiTheme="majorHAnsi" w:hAnsiTheme="majorHAnsi" w:cstheme="majorHAnsi"/>
          <w:szCs w:val="24"/>
        </w:rPr>
      </w:pPr>
      <w:r w:rsidRPr="00907036">
        <w:rPr>
          <w:rFonts w:eastAsia="Times New Roman" w:asciiTheme="majorHAnsi" w:hAnsiTheme="majorHAnsi" w:cstheme="majorHAnsi"/>
          <w:b/>
          <w:bCs/>
          <w:i/>
          <w:iCs/>
          <w:szCs w:val="24"/>
        </w:rPr>
        <w:t xml:space="preserve">(4) Article 13 Withdrawal Agreement: Self-standing or defined by cross-reference? </w:t>
      </w:r>
    </w:p>
    <w:p w:rsidRPr="00907036" w:rsidR="00233B67" w:rsidP="004019BA" w:rsidRDefault="00233B67" w14:paraId="79C2B36A" w14:textId="77777777">
      <w:pPr>
        <w:spacing w:before="240" w:after="0"/>
        <w:ind w:left="2127" w:firstLine="0"/>
        <w:rPr>
          <w:rFonts w:eastAsia="Times New Roman" w:asciiTheme="majorHAnsi" w:hAnsiTheme="majorHAnsi" w:cstheme="majorHAnsi"/>
          <w:szCs w:val="24"/>
        </w:rPr>
      </w:pPr>
      <w:r w:rsidRPr="00907036">
        <w:rPr>
          <w:rFonts w:eastAsia="Times New Roman" w:asciiTheme="majorHAnsi" w:hAnsiTheme="majorHAnsi" w:cstheme="majorHAnsi"/>
          <w:szCs w:val="24"/>
        </w:rPr>
        <w:t xml:space="preserve">93. </w:t>
      </w:r>
      <w:bookmarkStart w:name="para93" w:id="1"/>
      <w:r w:rsidRPr="00907036">
        <w:rPr>
          <w:rFonts w:eastAsia="Times New Roman" w:asciiTheme="majorHAnsi" w:hAnsiTheme="majorHAnsi" w:cstheme="majorHAnsi"/>
          <w:szCs w:val="24"/>
        </w:rPr>
        <w:t xml:space="preserve">The SSWP next argues that properly read Article 13 creates a standalone right which brought forth no rights from Article 21 TFEU but only its limitations. The Charter was thereby severed from the right of residence in the TFEU and </w:t>
      </w:r>
      <w:r w:rsidRPr="00907036">
        <w:rPr>
          <w:rFonts w:eastAsia="Times New Roman" w:asciiTheme="majorHAnsi" w:hAnsiTheme="majorHAnsi" w:cstheme="majorHAnsi"/>
          <w:szCs w:val="24"/>
        </w:rPr>
        <w:t xml:space="preserve">this had the effect of separating Article 13 from the Charter. In oral argument the Article 13 right was construed as if it read: </w:t>
      </w:r>
      <w:bookmarkEnd w:id="1"/>
    </w:p>
    <w:p w:rsidRPr="00907036" w:rsidR="00233B67" w:rsidP="004019BA" w:rsidRDefault="00233B67" w14:paraId="3D69E7FD" w14:textId="50A0927B">
      <w:pPr>
        <w:spacing w:before="240" w:after="0"/>
        <w:ind w:left="2836" w:firstLine="0"/>
        <w:rPr>
          <w:rFonts w:eastAsia="Times New Roman" w:asciiTheme="majorHAnsi" w:hAnsiTheme="majorHAnsi" w:cstheme="majorHAnsi"/>
          <w:szCs w:val="24"/>
        </w:rPr>
      </w:pPr>
      <w:r w:rsidRPr="00907036">
        <w:rPr>
          <w:rFonts w:eastAsia="Times New Roman" w:asciiTheme="majorHAnsi" w:hAnsiTheme="majorHAnsi" w:cstheme="majorHAnsi"/>
          <w:szCs w:val="24"/>
        </w:rPr>
        <w:t>"Union citizens and United Kingdom nationals shall pursuant to this article, but no provision of EU law, have a right to reside in the host State. That right shall however be subject to the limitations and conditions set out in Articles 21."</w:t>
      </w:r>
    </w:p>
    <w:p w:rsidRPr="00907036" w:rsidR="00233B67" w:rsidP="004019BA" w:rsidRDefault="00233B67" w14:paraId="22F59FC4" w14:textId="77777777">
      <w:pPr>
        <w:spacing w:before="240" w:after="0"/>
        <w:ind w:left="2127" w:firstLine="0"/>
        <w:rPr>
          <w:rFonts w:eastAsia="Times New Roman" w:asciiTheme="majorHAnsi" w:hAnsiTheme="majorHAnsi" w:cstheme="majorHAnsi"/>
          <w:szCs w:val="24"/>
        </w:rPr>
      </w:pPr>
      <w:r w:rsidRPr="00907036">
        <w:rPr>
          <w:rFonts w:eastAsia="Times New Roman" w:asciiTheme="majorHAnsi" w:hAnsiTheme="majorHAnsi" w:cstheme="majorHAnsi"/>
          <w:szCs w:val="24"/>
        </w:rPr>
        <w:t>This can be contrasted with Article 13 as actually framed:</w:t>
      </w:r>
    </w:p>
    <w:p w:rsidRPr="00907036" w:rsidR="00233B67" w:rsidP="004019BA" w:rsidRDefault="00233B67" w14:paraId="43FEE749" w14:textId="1C88FAFB">
      <w:pPr>
        <w:spacing w:before="240" w:after="0"/>
        <w:ind w:left="2836" w:firstLine="0"/>
        <w:rPr>
          <w:rFonts w:eastAsia="Times New Roman" w:asciiTheme="majorHAnsi" w:hAnsiTheme="majorHAnsi" w:cstheme="majorHAnsi"/>
          <w:szCs w:val="24"/>
        </w:rPr>
      </w:pPr>
      <w:r w:rsidRPr="00907036">
        <w:rPr>
          <w:rFonts w:eastAsia="Times New Roman" w:asciiTheme="majorHAnsi" w:hAnsiTheme="majorHAnsi" w:cstheme="majorHAnsi"/>
          <w:szCs w:val="24"/>
        </w:rPr>
        <w:t>"Union citizens and U</w:t>
      </w:r>
      <w:r w:rsidRPr="00907036" w:rsidR="004019BA">
        <w:rPr>
          <w:rFonts w:eastAsia="Times New Roman" w:asciiTheme="majorHAnsi" w:hAnsiTheme="majorHAnsi" w:cstheme="majorHAnsi"/>
          <w:szCs w:val="24"/>
        </w:rPr>
        <w:t>n</w:t>
      </w:r>
      <w:r w:rsidRPr="00907036">
        <w:rPr>
          <w:rFonts w:eastAsia="Times New Roman" w:asciiTheme="majorHAnsi" w:hAnsiTheme="majorHAnsi" w:cstheme="majorHAnsi"/>
          <w:szCs w:val="24"/>
        </w:rPr>
        <w:t>ited Kingdom nationals shall have the right to reside in the host State under the limitations and conditions as set out in Articles 21."</w:t>
      </w:r>
    </w:p>
    <w:p w:rsidRPr="00907036" w:rsidR="00233B67" w:rsidP="004019BA" w:rsidRDefault="00233B67" w14:paraId="24FBC77E" w14:textId="77777777">
      <w:pPr>
        <w:spacing w:before="240" w:after="0"/>
        <w:ind w:left="2127" w:firstLine="0"/>
        <w:rPr>
          <w:rFonts w:eastAsia="Times New Roman" w:asciiTheme="majorHAnsi" w:hAnsiTheme="majorHAnsi" w:cstheme="majorHAnsi"/>
          <w:szCs w:val="24"/>
        </w:rPr>
      </w:pPr>
      <w:r w:rsidRPr="00907036">
        <w:rPr>
          <w:rFonts w:eastAsia="Times New Roman" w:asciiTheme="majorHAnsi" w:hAnsiTheme="majorHAnsi" w:cstheme="majorHAnsi"/>
          <w:szCs w:val="24"/>
        </w:rPr>
        <w:t xml:space="preserve">94.  </w:t>
      </w:r>
      <w:bookmarkStart w:name="para94" w:id="2"/>
      <w:r w:rsidRPr="00907036">
        <w:rPr>
          <w:rFonts w:eastAsia="Times New Roman" w:asciiTheme="majorHAnsi" w:hAnsiTheme="majorHAnsi" w:cstheme="majorHAnsi"/>
          <w:szCs w:val="24"/>
        </w:rPr>
        <w:t>In my judgment, Article 13 is not self-standing. By its language it brings Article 21 TFEU into effect through cross reference. The SSWP's reformulation alters the substance of the right. It elides "</w:t>
      </w:r>
      <w:r w:rsidRPr="00907036">
        <w:rPr>
          <w:rFonts w:eastAsia="Times New Roman" w:asciiTheme="majorHAnsi" w:hAnsiTheme="majorHAnsi" w:cstheme="majorHAnsi"/>
          <w:i/>
          <w:iCs/>
          <w:szCs w:val="24"/>
        </w:rPr>
        <w:t>limitations</w:t>
      </w:r>
      <w:r w:rsidRPr="00907036">
        <w:rPr>
          <w:rFonts w:eastAsia="Times New Roman" w:asciiTheme="majorHAnsi" w:hAnsiTheme="majorHAnsi" w:cstheme="majorHAnsi"/>
          <w:szCs w:val="24"/>
        </w:rPr>
        <w:t>" with "</w:t>
      </w:r>
      <w:r w:rsidRPr="00907036">
        <w:rPr>
          <w:rFonts w:eastAsia="Times New Roman" w:asciiTheme="majorHAnsi" w:hAnsiTheme="majorHAnsi" w:cstheme="majorHAnsi"/>
          <w:i/>
          <w:iCs/>
          <w:szCs w:val="24"/>
        </w:rPr>
        <w:t>conditions</w:t>
      </w:r>
      <w:r w:rsidRPr="00907036">
        <w:rPr>
          <w:rFonts w:eastAsia="Times New Roman" w:asciiTheme="majorHAnsi" w:hAnsiTheme="majorHAnsi" w:cstheme="majorHAnsi"/>
          <w:szCs w:val="24"/>
        </w:rPr>
        <w:t>" when, naturally read, "</w:t>
      </w:r>
      <w:r w:rsidRPr="00907036">
        <w:rPr>
          <w:rFonts w:eastAsia="Times New Roman" w:asciiTheme="majorHAnsi" w:hAnsiTheme="majorHAnsi" w:cstheme="majorHAnsi"/>
          <w:i/>
          <w:iCs/>
          <w:szCs w:val="24"/>
        </w:rPr>
        <w:t>conditions</w:t>
      </w:r>
      <w:r w:rsidRPr="00907036">
        <w:rPr>
          <w:rFonts w:eastAsia="Times New Roman" w:asciiTheme="majorHAnsi" w:hAnsiTheme="majorHAnsi" w:cstheme="majorHAnsi"/>
          <w:szCs w:val="24"/>
        </w:rPr>
        <w:t xml:space="preserve">" indicates that the right as defined in Article 21 </w:t>
      </w:r>
      <w:r w:rsidRPr="00907036">
        <w:rPr>
          <w:rFonts w:eastAsia="Times New Roman" w:asciiTheme="majorHAnsi" w:hAnsiTheme="majorHAnsi" w:cstheme="majorHAnsi"/>
          <w:szCs w:val="24"/>
          <w:u w:val="single"/>
        </w:rPr>
        <w:t>is</w:t>
      </w:r>
      <w:r w:rsidRPr="00907036">
        <w:rPr>
          <w:rFonts w:eastAsia="Times New Roman" w:asciiTheme="majorHAnsi" w:hAnsiTheme="majorHAnsi" w:cstheme="majorHAnsi"/>
          <w:szCs w:val="24"/>
        </w:rPr>
        <w:t xml:space="preserve"> brought into Article 13. It also ignores the implication of the definite article which indicates that "</w:t>
      </w:r>
      <w:r w:rsidRPr="00907036">
        <w:rPr>
          <w:rFonts w:eastAsia="Times New Roman" w:asciiTheme="majorHAnsi" w:hAnsiTheme="majorHAnsi" w:cstheme="majorHAnsi"/>
          <w:i/>
          <w:iCs/>
          <w:szCs w:val="24"/>
        </w:rPr>
        <w:t>the</w:t>
      </w:r>
      <w:r w:rsidRPr="00907036">
        <w:rPr>
          <w:rFonts w:eastAsia="Times New Roman" w:asciiTheme="majorHAnsi" w:hAnsiTheme="majorHAnsi" w:cstheme="majorHAnsi"/>
          <w:szCs w:val="24"/>
        </w:rPr>
        <w:t>" Article 13 right to reside flows from Article 21. It further drafts out the word "</w:t>
      </w:r>
      <w:r w:rsidRPr="00907036">
        <w:rPr>
          <w:rFonts w:eastAsia="Times New Roman" w:asciiTheme="majorHAnsi" w:hAnsiTheme="majorHAnsi" w:cstheme="majorHAnsi"/>
          <w:i/>
          <w:iCs/>
          <w:szCs w:val="24"/>
        </w:rPr>
        <w:t>under</w:t>
      </w:r>
      <w:r w:rsidRPr="00907036">
        <w:rPr>
          <w:rFonts w:eastAsia="Times New Roman" w:asciiTheme="majorHAnsi" w:hAnsiTheme="majorHAnsi" w:cstheme="majorHAnsi"/>
          <w:szCs w:val="24"/>
        </w:rPr>
        <w:t xml:space="preserve">" which makes clear that the Article 13 right exists from within the umbrella right in Article 21 TFEU. </w:t>
      </w:r>
      <w:bookmarkEnd w:id="2"/>
    </w:p>
    <w:p w:rsidRPr="00907036" w:rsidR="00233B67" w:rsidP="004019BA" w:rsidRDefault="00233B67" w14:paraId="6A20FCCB" w14:textId="77777777">
      <w:pPr>
        <w:spacing w:before="240" w:after="0"/>
        <w:ind w:left="2127" w:firstLine="0"/>
        <w:rPr>
          <w:rFonts w:eastAsia="Times New Roman" w:asciiTheme="majorHAnsi" w:hAnsiTheme="majorHAnsi" w:cstheme="majorHAnsi"/>
          <w:szCs w:val="24"/>
        </w:rPr>
      </w:pPr>
      <w:r w:rsidRPr="00907036">
        <w:rPr>
          <w:rFonts w:eastAsia="Times New Roman" w:asciiTheme="majorHAnsi" w:hAnsiTheme="majorHAnsi" w:cstheme="majorHAnsi"/>
          <w:szCs w:val="24"/>
        </w:rPr>
        <w:t xml:space="preserve">95.  </w:t>
      </w:r>
      <w:bookmarkStart w:name="para95" w:id="3"/>
      <w:r w:rsidRPr="00907036">
        <w:rPr>
          <w:rFonts w:eastAsia="Times New Roman" w:asciiTheme="majorHAnsi" w:hAnsiTheme="majorHAnsi" w:cstheme="majorHAnsi"/>
          <w:szCs w:val="24"/>
        </w:rPr>
        <w:t>Perhaps most compelling against the interpretation of the SSWP is the language used in Article 13(2) and (3) (see paragraph [56] above) which confers derivative rights upon family members and others, and which makes clear that the rights being conferred derive from Article 21 TFEU and are not freestanding rights conferred by Article 13. Both say that the persons to be granted derived rights "</w:t>
      </w:r>
      <w:r w:rsidRPr="008941F5">
        <w:rPr>
          <w:rFonts w:eastAsia="Times New Roman" w:asciiTheme="majorHAnsi" w:hAnsiTheme="majorHAnsi" w:cstheme="majorHAnsi"/>
          <w:i/>
          <w:iCs/>
          <w:szCs w:val="24"/>
        </w:rPr>
        <w:t>shall have the right to reside in the host State as set out in Article 21 TFEU</w:t>
      </w:r>
      <w:r w:rsidRPr="00907036">
        <w:rPr>
          <w:rFonts w:eastAsia="Times New Roman" w:asciiTheme="majorHAnsi" w:hAnsiTheme="majorHAnsi" w:cstheme="majorHAnsi"/>
          <w:szCs w:val="24"/>
        </w:rPr>
        <w:t>". The language used ("</w:t>
      </w:r>
      <w:r w:rsidRPr="008941F5">
        <w:rPr>
          <w:rFonts w:eastAsia="Times New Roman" w:asciiTheme="majorHAnsi" w:hAnsiTheme="majorHAnsi" w:cstheme="majorHAnsi"/>
          <w:i/>
          <w:iCs/>
          <w:szCs w:val="24"/>
        </w:rPr>
        <w:t>as set out in</w:t>
      </w:r>
      <w:r w:rsidRPr="00907036">
        <w:rPr>
          <w:rFonts w:eastAsia="Times New Roman" w:asciiTheme="majorHAnsi" w:hAnsiTheme="majorHAnsi" w:cstheme="majorHAnsi"/>
          <w:szCs w:val="24"/>
        </w:rPr>
        <w:t>") is slightly different to that used in Article 13(1) ("</w:t>
      </w:r>
      <w:r w:rsidRPr="00731736">
        <w:rPr>
          <w:rFonts w:eastAsia="Times New Roman" w:asciiTheme="majorHAnsi" w:hAnsiTheme="majorHAnsi" w:cstheme="majorHAnsi"/>
          <w:i/>
          <w:iCs/>
          <w:szCs w:val="24"/>
        </w:rPr>
        <w:t>under</w:t>
      </w:r>
      <w:r w:rsidRPr="00907036">
        <w:rPr>
          <w:rFonts w:eastAsia="Times New Roman" w:asciiTheme="majorHAnsi" w:hAnsiTheme="majorHAnsi" w:cstheme="majorHAnsi"/>
          <w:szCs w:val="24"/>
        </w:rPr>
        <w:t xml:space="preserve">") but is clear in equating the Article 13 right with the Article 21 right. Article 13 must be read as a whole. No basis has been advanced in argument, or evidenced by admissible </w:t>
      </w:r>
      <w:r w:rsidRPr="005F1D78">
        <w:rPr>
          <w:rFonts w:eastAsia="Times New Roman" w:asciiTheme="majorHAnsi" w:hAnsiTheme="majorHAnsi" w:cstheme="majorHAnsi"/>
          <w:i/>
          <w:iCs/>
          <w:szCs w:val="24"/>
        </w:rPr>
        <w:t xml:space="preserve">travaux </w:t>
      </w:r>
      <w:proofErr w:type="spellStart"/>
      <w:r w:rsidRPr="005F1D78">
        <w:rPr>
          <w:rFonts w:eastAsia="Times New Roman" w:asciiTheme="majorHAnsi" w:hAnsiTheme="majorHAnsi" w:cstheme="majorHAnsi"/>
          <w:i/>
          <w:iCs/>
          <w:szCs w:val="24"/>
        </w:rPr>
        <w:t>preparatoires</w:t>
      </w:r>
      <w:proofErr w:type="spellEnd"/>
      <w:r w:rsidRPr="00907036">
        <w:rPr>
          <w:rFonts w:eastAsia="Times New Roman" w:asciiTheme="majorHAnsi" w:hAnsiTheme="majorHAnsi" w:cstheme="majorHAnsi"/>
          <w:szCs w:val="24"/>
        </w:rPr>
        <w:t xml:space="preserve"> or other material, upon which it can be said that the parties to the Agreement intended the principal beneficiary to have curtailed rights only by reason of Article 13 of the Agreement but that dependants should acquire enhanced derivative rights by virtue of Article 21.</w:t>
      </w:r>
      <w:bookmarkEnd w:id="3"/>
    </w:p>
    <w:p w:rsidRPr="00907036" w:rsidR="00233B67" w:rsidP="009F3971" w:rsidRDefault="00233B67" w14:paraId="1DBF7778" w14:textId="3F876B1E">
      <w:pPr>
        <w:pStyle w:val="ListParagraph"/>
        <w:numPr>
          <w:ilvl w:val="0"/>
          <w:numId w:val="11"/>
        </w:numPr>
        <w:autoSpaceDE w:val="0"/>
        <w:adjustRightInd w:val="0"/>
        <w:spacing w:before="240" w:line="360" w:lineRule="auto"/>
        <w:contextualSpacing w:val="0"/>
        <w:rPr>
          <w:rFonts w:asciiTheme="majorHAnsi" w:hAnsiTheme="majorHAnsi" w:cstheme="majorHAnsi"/>
          <w:szCs w:val="24"/>
        </w:rPr>
      </w:pPr>
      <w:r w:rsidRPr="00907036">
        <w:rPr>
          <w:rFonts w:asciiTheme="majorHAnsi" w:hAnsiTheme="majorHAnsi" w:cstheme="majorHAnsi"/>
          <w:szCs w:val="24"/>
        </w:rPr>
        <w:t xml:space="preserve">In </w:t>
      </w:r>
      <w:r w:rsidRPr="00907036" w:rsidR="00B27FA8">
        <w:rPr>
          <w:rFonts w:asciiTheme="majorHAnsi" w:hAnsiTheme="majorHAnsi" w:cstheme="majorHAnsi"/>
          <w:szCs w:val="24"/>
        </w:rPr>
        <w:t xml:space="preserve">the same way as in the Upper Tribunal, in </w:t>
      </w:r>
      <w:r w:rsidRPr="00907036">
        <w:rPr>
          <w:rFonts w:asciiTheme="majorHAnsi" w:hAnsiTheme="majorHAnsi" w:cstheme="majorHAnsi"/>
          <w:szCs w:val="24"/>
        </w:rPr>
        <w:t>that passage Green LJ was dealing with the Secretary of State’s argument that art</w:t>
      </w:r>
      <w:r w:rsidRPr="00907036" w:rsidR="00BB48BD">
        <w:rPr>
          <w:rFonts w:asciiTheme="majorHAnsi" w:hAnsiTheme="majorHAnsi" w:cstheme="majorHAnsi"/>
          <w:szCs w:val="24"/>
        </w:rPr>
        <w:t>icle</w:t>
      </w:r>
      <w:r w:rsidRPr="00907036">
        <w:rPr>
          <w:rFonts w:asciiTheme="majorHAnsi" w:hAnsiTheme="majorHAnsi" w:cstheme="majorHAnsi"/>
          <w:szCs w:val="24"/>
        </w:rPr>
        <w:t xml:space="preserve"> 13(1)</w:t>
      </w:r>
      <w:r w:rsidRPr="00907036" w:rsidR="00BB48BD">
        <w:rPr>
          <w:rFonts w:asciiTheme="majorHAnsi" w:hAnsiTheme="majorHAnsi" w:cstheme="majorHAnsi"/>
          <w:szCs w:val="24"/>
        </w:rPr>
        <w:t xml:space="preserve"> WA</w:t>
      </w:r>
      <w:r w:rsidRPr="00907036">
        <w:rPr>
          <w:rFonts w:asciiTheme="majorHAnsi" w:hAnsiTheme="majorHAnsi" w:cstheme="majorHAnsi"/>
          <w:szCs w:val="24"/>
        </w:rPr>
        <w:t xml:space="preserve"> did not apply art</w:t>
      </w:r>
      <w:r w:rsidRPr="00907036" w:rsidR="00B27FA8">
        <w:rPr>
          <w:rFonts w:asciiTheme="majorHAnsi" w:hAnsiTheme="majorHAnsi" w:cstheme="majorHAnsi"/>
          <w:szCs w:val="24"/>
        </w:rPr>
        <w:t>icle</w:t>
      </w:r>
      <w:r w:rsidRPr="00907036">
        <w:rPr>
          <w:rFonts w:asciiTheme="majorHAnsi" w:hAnsiTheme="majorHAnsi" w:cstheme="majorHAnsi"/>
          <w:szCs w:val="24"/>
        </w:rPr>
        <w:t xml:space="preserve"> 21 </w:t>
      </w:r>
      <w:r w:rsidRPr="00907036" w:rsidR="00BB48BD">
        <w:rPr>
          <w:rFonts w:asciiTheme="majorHAnsi" w:hAnsiTheme="majorHAnsi" w:cstheme="majorHAnsi"/>
          <w:szCs w:val="24"/>
        </w:rPr>
        <w:t>TFEU</w:t>
      </w:r>
      <w:r w:rsidRPr="00907036">
        <w:rPr>
          <w:rFonts w:asciiTheme="majorHAnsi" w:hAnsiTheme="majorHAnsi" w:cstheme="majorHAnsi"/>
          <w:szCs w:val="24"/>
        </w:rPr>
        <w:t xml:space="preserve"> but instead created free standing residence rights specific to the </w:t>
      </w:r>
      <w:r w:rsidRPr="00907036" w:rsidR="00BB48BD">
        <w:rPr>
          <w:rFonts w:asciiTheme="majorHAnsi" w:hAnsiTheme="majorHAnsi" w:cstheme="majorHAnsi"/>
          <w:szCs w:val="24"/>
        </w:rPr>
        <w:t>WA</w:t>
      </w:r>
      <w:r w:rsidRPr="00907036">
        <w:rPr>
          <w:rFonts w:asciiTheme="majorHAnsi" w:hAnsiTheme="majorHAnsi" w:cstheme="majorHAnsi"/>
          <w:szCs w:val="24"/>
        </w:rPr>
        <w:t xml:space="preserve">. That was relevant to the issue of whether art. 13 needed to be “interpreted and applied in accordance with the methods and general principles of Union law” (which importantly include the </w:t>
      </w:r>
      <w:r w:rsidRPr="00907036" w:rsidR="007C189F">
        <w:rPr>
          <w:rFonts w:asciiTheme="majorHAnsi" w:hAnsiTheme="majorHAnsi" w:cstheme="majorHAnsi"/>
          <w:szCs w:val="24"/>
        </w:rPr>
        <w:t>C</w:t>
      </w:r>
      <w:r w:rsidR="00187727">
        <w:rPr>
          <w:rFonts w:asciiTheme="majorHAnsi" w:hAnsiTheme="majorHAnsi" w:cstheme="majorHAnsi"/>
          <w:szCs w:val="24"/>
        </w:rPr>
        <w:t>harter</w:t>
      </w:r>
      <w:r w:rsidRPr="00907036">
        <w:rPr>
          <w:rFonts w:asciiTheme="majorHAnsi" w:hAnsiTheme="majorHAnsi" w:cstheme="majorHAnsi"/>
          <w:szCs w:val="24"/>
        </w:rPr>
        <w:t>).</w:t>
      </w:r>
      <w:r w:rsidRPr="00907036" w:rsidR="00B27FA8">
        <w:rPr>
          <w:rFonts w:asciiTheme="majorHAnsi" w:hAnsiTheme="majorHAnsi" w:cstheme="majorHAnsi"/>
          <w:szCs w:val="24"/>
        </w:rPr>
        <w:t xml:space="preserve"> </w:t>
      </w:r>
      <w:r w:rsidRPr="00907036">
        <w:rPr>
          <w:rFonts w:asciiTheme="majorHAnsi" w:hAnsiTheme="majorHAnsi" w:cstheme="majorHAnsi"/>
          <w:szCs w:val="24"/>
        </w:rPr>
        <w:t>The Secretary of State’s argument relied on the wording of art</w:t>
      </w:r>
      <w:r w:rsidRPr="00907036" w:rsidR="00B27FA8">
        <w:rPr>
          <w:rFonts w:asciiTheme="majorHAnsi" w:hAnsiTheme="majorHAnsi" w:cstheme="majorHAnsi"/>
          <w:szCs w:val="24"/>
        </w:rPr>
        <w:t>icle</w:t>
      </w:r>
      <w:r w:rsidRPr="00907036">
        <w:rPr>
          <w:rFonts w:asciiTheme="majorHAnsi" w:hAnsiTheme="majorHAnsi" w:cstheme="majorHAnsi"/>
          <w:szCs w:val="24"/>
        </w:rPr>
        <w:t xml:space="preserve"> 13(1) (which as AT was an EU national was </w:t>
      </w:r>
      <w:r w:rsidRPr="00907036">
        <w:rPr>
          <w:rFonts w:asciiTheme="majorHAnsi" w:hAnsiTheme="majorHAnsi" w:cstheme="majorHAnsi"/>
          <w:szCs w:val="24"/>
        </w:rPr>
        <w:t>the one in issue in her case). Specifically, it was said that art</w:t>
      </w:r>
      <w:r w:rsidRPr="00907036" w:rsidR="00B27FA8">
        <w:rPr>
          <w:rFonts w:asciiTheme="majorHAnsi" w:hAnsiTheme="majorHAnsi" w:cstheme="majorHAnsi"/>
          <w:szCs w:val="24"/>
        </w:rPr>
        <w:t>icle</w:t>
      </w:r>
      <w:r w:rsidRPr="00907036">
        <w:rPr>
          <w:rFonts w:asciiTheme="majorHAnsi" w:hAnsiTheme="majorHAnsi" w:cstheme="majorHAnsi"/>
          <w:szCs w:val="24"/>
        </w:rPr>
        <w:t xml:space="preserve"> 13(1) did not apply the right of residence in art. 21 but only the limitations on that right.</w:t>
      </w:r>
    </w:p>
    <w:p w:rsidRPr="00B45719" w:rsidR="00907036" w:rsidP="00B45719" w:rsidRDefault="00233B67" w14:paraId="3432B437" w14:textId="48432354">
      <w:pPr>
        <w:pStyle w:val="ListParagraph"/>
        <w:numPr>
          <w:ilvl w:val="0"/>
          <w:numId w:val="11"/>
        </w:numPr>
        <w:autoSpaceDE w:val="0"/>
        <w:adjustRightInd w:val="0"/>
        <w:spacing w:before="240" w:line="360" w:lineRule="auto"/>
        <w:contextualSpacing w:val="0"/>
        <w:rPr>
          <w:rFonts w:asciiTheme="majorHAnsi" w:hAnsiTheme="majorHAnsi" w:cstheme="majorHAnsi"/>
        </w:rPr>
      </w:pPr>
      <w:r w:rsidRPr="00907036">
        <w:rPr>
          <w:rFonts w:asciiTheme="majorHAnsi" w:hAnsiTheme="majorHAnsi" w:cstheme="majorHAnsi"/>
          <w:szCs w:val="24"/>
        </w:rPr>
        <w:t>In rejecting that argument, Green LJ highlighted the contrasting wording in art</w:t>
      </w:r>
      <w:r w:rsidRPr="00907036" w:rsidR="00B27FA8">
        <w:rPr>
          <w:rFonts w:asciiTheme="majorHAnsi" w:hAnsiTheme="majorHAnsi" w:cstheme="majorHAnsi"/>
          <w:szCs w:val="24"/>
        </w:rPr>
        <w:t>icle</w:t>
      </w:r>
      <w:r w:rsidRPr="00907036">
        <w:rPr>
          <w:rFonts w:asciiTheme="majorHAnsi" w:hAnsiTheme="majorHAnsi" w:cstheme="majorHAnsi"/>
          <w:szCs w:val="24"/>
        </w:rPr>
        <w:t xml:space="preserve"> 13(</w:t>
      </w:r>
      <w:r w:rsidRPr="00907036" w:rsidR="00331706">
        <w:rPr>
          <w:rFonts w:asciiTheme="majorHAnsi" w:hAnsiTheme="majorHAnsi" w:cstheme="majorHAnsi"/>
          <w:szCs w:val="24"/>
        </w:rPr>
        <w:t>3</w:t>
      </w:r>
      <w:r w:rsidRPr="00907036">
        <w:rPr>
          <w:rFonts w:asciiTheme="majorHAnsi" w:hAnsiTheme="majorHAnsi" w:cstheme="majorHAnsi"/>
          <w:szCs w:val="24"/>
        </w:rPr>
        <w:t xml:space="preserve">) (which applied to </w:t>
      </w:r>
      <w:proofErr w:type="spellStart"/>
      <w:r w:rsidRPr="00907036">
        <w:rPr>
          <w:rFonts w:asciiTheme="majorHAnsi" w:hAnsiTheme="majorHAnsi" w:cstheme="majorHAnsi"/>
          <w:szCs w:val="24"/>
        </w:rPr>
        <w:t>non EU</w:t>
      </w:r>
      <w:proofErr w:type="spellEnd"/>
      <w:r w:rsidRPr="00907036">
        <w:rPr>
          <w:rFonts w:asciiTheme="majorHAnsi" w:hAnsiTheme="majorHAnsi" w:cstheme="majorHAnsi"/>
          <w:szCs w:val="24"/>
        </w:rPr>
        <w:t xml:space="preserve"> citizens such as the Appellant in this case). It is clear from Green LJ’s reasoning that he thought art</w:t>
      </w:r>
      <w:r w:rsidRPr="00907036" w:rsidR="00331706">
        <w:rPr>
          <w:rFonts w:asciiTheme="majorHAnsi" w:hAnsiTheme="majorHAnsi" w:cstheme="majorHAnsi"/>
          <w:szCs w:val="24"/>
        </w:rPr>
        <w:t xml:space="preserve">icle </w:t>
      </w:r>
      <w:r w:rsidRPr="00907036">
        <w:rPr>
          <w:rFonts w:asciiTheme="majorHAnsi" w:hAnsiTheme="majorHAnsi" w:cstheme="majorHAnsi"/>
          <w:szCs w:val="24"/>
        </w:rPr>
        <w:t>13(</w:t>
      </w:r>
      <w:r w:rsidRPr="00907036" w:rsidR="00331706">
        <w:rPr>
          <w:rFonts w:asciiTheme="majorHAnsi" w:hAnsiTheme="majorHAnsi" w:cstheme="majorHAnsi"/>
          <w:szCs w:val="24"/>
        </w:rPr>
        <w:t>3</w:t>
      </w:r>
      <w:r w:rsidRPr="00907036">
        <w:rPr>
          <w:rFonts w:asciiTheme="majorHAnsi" w:hAnsiTheme="majorHAnsi" w:cstheme="majorHAnsi"/>
          <w:szCs w:val="24"/>
        </w:rPr>
        <w:t>) provided rights under art</w:t>
      </w:r>
      <w:r w:rsidRPr="00907036" w:rsidR="00331706">
        <w:rPr>
          <w:rFonts w:asciiTheme="majorHAnsi" w:hAnsiTheme="majorHAnsi" w:cstheme="majorHAnsi"/>
          <w:szCs w:val="24"/>
        </w:rPr>
        <w:t>icle</w:t>
      </w:r>
      <w:r w:rsidRPr="00907036">
        <w:rPr>
          <w:rFonts w:asciiTheme="majorHAnsi" w:hAnsiTheme="majorHAnsi" w:cstheme="majorHAnsi"/>
          <w:szCs w:val="24"/>
        </w:rPr>
        <w:t xml:space="preserve"> 21 </w:t>
      </w:r>
      <w:r w:rsidRPr="00907036" w:rsidR="00331706">
        <w:rPr>
          <w:rFonts w:asciiTheme="majorHAnsi" w:hAnsiTheme="majorHAnsi" w:cstheme="majorHAnsi"/>
          <w:szCs w:val="24"/>
        </w:rPr>
        <w:t xml:space="preserve">TFEU </w:t>
      </w:r>
      <w:r w:rsidRPr="00907036">
        <w:rPr>
          <w:rFonts w:asciiTheme="majorHAnsi" w:hAnsiTheme="majorHAnsi" w:cstheme="majorHAnsi"/>
          <w:szCs w:val="24"/>
        </w:rPr>
        <w:t xml:space="preserve">for </w:t>
      </w:r>
      <w:r w:rsidR="00B45719">
        <w:rPr>
          <w:rFonts w:asciiTheme="majorHAnsi" w:hAnsiTheme="majorHAnsi" w:cstheme="majorHAnsi"/>
          <w:szCs w:val="24"/>
        </w:rPr>
        <w:t>TCNs</w:t>
      </w:r>
      <w:r w:rsidRPr="00907036">
        <w:rPr>
          <w:rFonts w:asciiTheme="majorHAnsi" w:hAnsiTheme="majorHAnsi" w:cstheme="majorHAnsi"/>
          <w:szCs w:val="24"/>
        </w:rPr>
        <w:t>. It was because of that, that Green LJ decided the same must be true for EU nationals under art</w:t>
      </w:r>
      <w:r w:rsidRPr="00907036" w:rsidR="00331706">
        <w:rPr>
          <w:rFonts w:asciiTheme="majorHAnsi" w:hAnsiTheme="majorHAnsi" w:cstheme="majorHAnsi"/>
          <w:szCs w:val="24"/>
        </w:rPr>
        <w:t>icle</w:t>
      </w:r>
      <w:r w:rsidRPr="00907036">
        <w:rPr>
          <w:rFonts w:asciiTheme="majorHAnsi" w:hAnsiTheme="majorHAnsi" w:cstheme="majorHAnsi"/>
          <w:szCs w:val="24"/>
        </w:rPr>
        <w:t xml:space="preserve"> 13(1). As Green LJ </w:t>
      </w:r>
      <w:proofErr w:type="gramStart"/>
      <w:r w:rsidRPr="00907036">
        <w:rPr>
          <w:rFonts w:asciiTheme="majorHAnsi" w:hAnsiTheme="majorHAnsi" w:cstheme="majorHAnsi"/>
          <w:szCs w:val="24"/>
        </w:rPr>
        <w:t>said</w:t>
      </w:r>
      <w:proofErr w:type="gramEnd"/>
      <w:r w:rsidRPr="00907036">
        <w:rPr>
          <w:rFonts w:asciiTheme="majorHAnsi" w:hAnsiTheme="majorHAnsi" w:cstheme="majorHAnsi"/>
          <w:szCs w:val="24"/>
        </w:rPr>
        <w:t xml:space="preserve"> “</w:t>
      </w:r>
      <w:r w:rsidRPr="00907036">
        <w:rPr>
          <w:rFonts w:eastAsia="Times New Roman" w:asciiTheme="majorHAnsi" w:hAnsiTheme="majorHAnsi" w:cstheme="majorHAnsi"/>
          <w:szCs w:val="24"/>
        </w:rPr>
        <w:t xml:space="preserve">Article 13(2) and (3) […] confers derivative rights upon family members and others, </w:t>
      </w:r>
      <w:r w:rsidRPr="00907036" w:rsidR="005D774B">
        <w:rPr>
          <w:rFonts w:eastAsia="Times New Roman" w:asciiTheme="majorHAnsi" w:hAnsiTheme="majorHAnsi" w:cstheme="majorHAnsi"/>
          <w:szCs w:val="24"/>
        </w:rPr>
        <w:t>[…]</w:t>
      </w:r>
      <w:r w:rsidRPr="00907036">
        <w:rPr>
          <w:rFonts w:eastAsia="Times New Roman" w:asciiTheme="majorHAnsi" w:hAnsiTheme="majorHAnsi" w:cstheme="majorHAnsi"/>
          <w:szCs w:val="24"/>
        </w:rPr>
        <w:t xml:space="preserve"> which </w:t>
      </w:r>
      <w:r w:rsidRPr="00907036">
        <w:rPr>
          <w:rFonts w:eastAsia="Times New Roman" w:asciiTheme="majorHAnsi" w:hAnsiTheme="majorHAnsi" w:cstheme="majorHAnsi"/>
          <w:szCs w:val="24"/>
          <w:u w:val="single"/>
        </w:rPr>
        <w:t>makes clear that the rights being conferred derive from Article 21 TFEU</w:t>
      </w:r>
      <w:r w:rsidRPr="00907036">
        <w:rPr>
          <w:rFonts w:eastAsia="Times New Roman" w:asciiTheme="majorHAnsi" w:hAnsiTheme="majorHAnsi" w:cstheme="majorHAnsi"/>
          <w:szCs w:val="24"/>
        </w:rPr>
        <w:t xml:space="preserve"> and are not freestanding rights conferred by Article 13”.</w:t>
      </w:r>
    </w:p>
    <w:p w:rsidR="00EC3717" w:rsidP="00907036" w:rsidRDefault="00EC3717" w14:paraId="4E8F86C4" w14:textId="77777777">
      <w:pPr>
        <w:pStyle w:val="Standard"/>
        <w:tabs>
          <w:tab w:val="left" w:pos="717"/>
        </w:tabs>
        <w:spacing w:before="240" w:line="360" w:lineRule="auto"/>
        <w:jc w:val="both"/>
        <w:rPr>
          <w:rFonts w:asciiTheme="majorHAnsi" w:hAnsiTheme="majorHAnsi" w:cstheme="majorHAnsi"/>
          <w:b/>
          <w:bCs/>
          <w:u w:val="single"/>
        </w:rPr>
      </w:pPr>
    </w:p>
    <w:p w:rsidRPr="00907036" w:rsidR="009B0833" w:rsidP="00907036" w:rsidRDefault="00AF234F" w14:paraId="4AD60B0D" w14:textId="3357E8EC">
      <w:pPr>
        <w:pStyle w:val="Standard"/>
        <w:tabs>
          <w:tab w:val="left" w:pos="717"/>
        </w:tabs>
        <w:spacing w:before="240" w:line="360" w:lineRule="auto"/>
        <w:jc w:val="both"/>
        <w:rPr>
          <w:rFonts w:asciiTheme="majorHAnsi" w:hAnsiTheme="majorHAnsi" w:cstheme="majorHAnsi"/>
          <w:b/>
          <w:bCs/>
          <w:u w:val="single"/>
        </w:rPr>
      </w:pPr>
      <w:r w:rsidRPr="00907036">
        <w:rPr>
          <w:rFonts w:asciiTheme="majorHAnsi" w:hAnsiTheme="majorHAnsi" w:cstheme="majorHAnsi"/>
          <w:b/>
          <w:bCs/>
          <w:u w:val="single"/>
        </w:rPr>
        <w:t>Conclusion</w:t>
      </w:r>
    </w:p>
    <w:p w:rsidR="003716B2" w:rsidP="00907036" w:rsidRDefault="00907036" w14:paraId="4DD0C529" w14:textId="355F0DBF">
      <w:pPr>
        <w:pStyle w:val="Standard"/>
        <w:numPr>
          <w:ilvl w:val="0"/>
          <w:numId w:val="11"/>
        </w:numPr>
        <w:tabs>
          <w:tab w:val="left" w:pos="717"/>
        </w:tabs>
        <w:spacing w:after="312" w:line="360" w:lineRule="auto"/>
        <w:jc w:val="both"/>
        <w:rPr>
          <w:rFonts w:asciiTheme="majorHAnsi" w:hAnsiTheme="majorHAnsi" w:cstheme="majorHAnsi"/>
        </w:rPr>
      </w:pPr>
      <w:r>
        <w:rPr>
          <w:rFonts w:asciiTheme="majorHAnsi" w:hAnsiTheme="majorHAnsi" w:cstheme="majorHAnsi"/>
        </w:rPr>
        <w:t>The Tribunal should find that the Charter did apply when the Appellant claimed UC</w:t>
      </w:r>
      <w:r w:rsidR="00C66CA4">
        <w:rPr>
          <w:rFonts w:asciiTheme="majorHAnsi" w:hAnsiTheme="majorHAnsi" w:cstheme="majorHAnsi"/>
        </w:rPr>
        <w:t>,</w:t>
      </w:r>
      <w:r>
        <w:rPr>
          <w:rFonts w:asciiTheme="majorHAnsi" w:hAnsiTheme="majorHAnsi" w:cstheme="majorHAnsi"/>
        </w:rPr>
        <w:t xml:space="preserve"> as the Respondent was implementing EU law in deciding that claim. The Tribunal should go on to determine that the Respondent risked breaching the Appellant’s rights under the Charter by refusing the claim as made clear from the evidence </w:t>
      </w:r>
      <w:r w:rsidR="00B832D6">
        <w:rPr>
          <w:rFonts w:asciiTheme="majorHAnsi" w:hAnsiTheme="majorHAnsi" w:cstheme="majorHAnsi"/>
        </w:rPr>
        <w:t>provided in other documents.</w:t>
      </w:r>
    </w:p>
    <w:p w:rsidR="00B832D6" w:rsidP="00B832D6" w:rsidRDefault="00B832D6" w14:paraId="04A28F66" w14:textId="08A457A7">
      <w:pPr>
        <w:pStyle w:val="Standard"/>
        <w:tabs>
          <w:tab w:val="left" w:pos="717"/>
        </w:tabs>
        <w:spacing w:after="312" w:line="360" w:lineRule="auto"/>
        <w:jc w:val="right"/>
        <w:rPr>
          <w:rFonts w:asciiTheme="majorHAnsi" w:hAnsiTheme="majorHAnsi" w:cstheme="majorHAnsi"/>
        </w:rPr>
      </w:pPr>
      <w:r>
        <w:rPr>
          <w:rFonts w:asciiTheme="majorHAnsi" w:hAnsiTheme="majorHAnsi" w:cstheme="majorHAnsi"/>
        </w:rPr>
        <w:t>[ADVISER NAME]</w:t>
      </w:r>
    </w:p>
    <w:p w:rsidR="00B832D6" w:rsidP="00B832D6" w:rsidRDefault="00B832D6" w14:paraId="196F498E" w14:textId="14653472">
      <w:pPr>
        <w:pStyle w:val="Standard"/>
        <w:tabs>
          <w:tab w:val="left" w:pos="717"/>
        </w:tabs>
        <w:spacing w:after="312" w:line="360" w:lineRule="auto"/>
        <w:jc w:val="right"/>
        <w:rPr>
          <w:rFonts w:asciiTheme="majorHAnsi" w:hAnsiTheme="majorHAnsi" w:cstheme="majorHAnsi"/>
        </w:rPr>
      </w:pPr>
      <w:r>
        <w:rPr>
          <w:rFonts w:asciiTheme="majorHAnsi" w:hAnsiTheme="majorHAnsi" w:cstheme="majorHAnsi"/>
        </w:rPr>
        <w:t>[ADVISER ORGANISATION]</w:t>
      </w:r>
    </w:p>
    <w:p w:rsidRPr="00907036" w:rsidR="00B832D6" w:rsidP="00B832D6" w:rsidRDefault="00B832D6" w14:paraId="6898AC57" w14:textId="03EDA0C6">
      <w:pPr>
        <w:pStyle w:val="Standard"/>
        <w:tabs>
          <w:tab w:val="left" w:pos="717"/>
        </w:tabs>
        <w:spacing w:after="312" w:line="360" w:lineRule="auto"/>
        <w:jc w:val="right"/>
        <w:rPr>
          <w:rFonts w:asciiTheme="majorHAnsi" w:hAnsiTheme="majorHAnsi" w:cstheme="majorHAnsi"/>
        </w:rPr>
      </w:pPr>
      <w:r>
        <w:rPr>
          <w:rFonts w:asciiTheme="majorHAnsi" w:hAnsiTheme="majorHAnsi" w:cstheme="majorHAnsi"/>
        </w:rPr>
        <w:t>[DATE]</w:t>
      </w:r>
    </w:p>
    <w:sectPr w:rsidRPr="00907036" w:rsidR="00B832D6">
      <w:footerReference w:type="default" r:id="rId15"/>
      <w:pgSz w:w="11906" w:h="16838" w:orient="portrait"/>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2FD4" w:rsidRDefault="003E2FD4" w14:paraId="5013796D" w14:textId="77777777">
      <w:r>
        <w:separator/>
      </w:r>
    </w:p>
  </w:endnote>
  <w:endnote w:type="continuationSeparator" w:id="0">
    <w:p w:rsidR="003E2FD4" w:rsidRDefault="003E2FD4" w14:paraId="51BDBDE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oto Serif CJK SC">
    <w:charset w:val="00"/>
    <w:family w:val="auto"/>
    <w:pitch w:val="variable"/>
  </w:font>
  <w:font w:name="FreeSan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Noto Sans CJK S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5312" w:rsidRDefault="00445312" w14:paraId="2B963025" w14:textId="77777777">
    <w:pPr>
      <w:pStyle w:val="Footer"/>
      <w:jc w:val="center"/>
    </w:pPr>
    <w:r>
      <w:fldChar w:fldCharType="begin"/>
    </w:r>
    <w:r>
      <w:instrText xml:space="preserve"> PAGE </w:instrText>
    </w:r>
    <w:r>
      <w:fldChar w:fldCharType="separate"/>
    </w:r>
    <w:r w:rsidR="0085725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2FD4" w:rsidRDefault="003E2FD4" w14:paraId="16E80D14" w14:textId="77777777">
      <w:r>
        <w:separator/>
      </w:r>
    </w:p>
  </w:footnote>
  <w:footnote w:type="continuationSeparator" w:id="0">
    <w:p w:rsidR="003E2FD4" w:rsidRDefault="003E2FD4" w14:paraId="48CB9EE3" w14:textId="77777777">
      <w:r>
        <w:continuationSeparator/>
      </w:r>
    </w:p>
  </w:footnote>
  <w:footnote w:id="1">
    <w:p w:rsidR="00CC39A1" w:rsidP="00A3198A" w:rsidRDefault="00CC39A1" w14:paraId="07BC6905" w14:textId="4C49BC98">
      <w:pPr>
        <w:pStyle w:val="FootnoteText"/>
        <w:ind w:left="0" w:firstLine="0"/>
      </w:pPr>
      <w:r>
        <w:rPr>
          <w:rStyle w:val="FootnoteReference"/>
        </w:rPr>
        <w:footnoteRef/>
      </w:r>
      <w:r>
        <w:t>“</w:t>
      </w:r>
      <w:r w:rsidRPr="0065423A">
        <w:rPr>
          <w:b/>
          <w:bCs/>
          <w:i/>
          <w:iCs/>
        </w:rPr>
        <w:t>SSWP v AT</w:t>
      </w:r>
      <w:r w:rsidRPr="0065423A">
        <w:rPr>
          <w:b/>
          <w:bCs/>
        </w:rPr>
        <w:t xml:space="preserve"> litigation</w:t>
      </w:r>
      <w:r>
        <w:t xml:space="preserve">” – </w:t>
      </w:r>
      <w:r w:rsidR="0065423A">
        <w:t>refers to</w:t>
      </w:r>
      <w:r>
        <w:t xml:space="preserve"> </w:t>
      </w:r>
      <w:r>
        <w:rPr>
          <w:i/>
          <w:iCs/>
        </w:rPr>
        <w:t xml:space="preserve">SSWP v AT (AIRE Centre and IMA Intervening) </w:t>
      </w:r>
      <w:r>
        <w:t xml:space="preserve">[2022] UKUT 330 (AAC) and </w:t>
      </w:r>
      <w:r w:rsidR="00A3198A">
        <w:br/>
      </w:r>
      <w:r>
        <w:rPr>
          <w:i/>
          <w:iCs/>
        </w:rPr>
        <w:t xml:space="preserve">SSWP v AT (Respondent) </w:t>
      </w:r>
      <w:r w:rsidR="00C46BA0">
        <w:rPr>
          <w:i/>
          <w:iCs/>
        </w:rPr>
        <w:t xml:space="preserve">(AIRE Centre and IMA Intervening) </w:t>
      </w:r>
      <w:r w:rsidR="00C46BA0">
        <w:t xml:space="preserve">[2023] </w:t>
      </w:r>
      <w:proofErr w:type="spellStart"/>
      <w:r w:rsidR="00C46BA0">
        <w:t>EWCA</w:t>
      </w:r>
      <w:proofErr w:type="spellEnd"/>
      <w:r w:rsidR="00C46BA0">
        <w:t xml:space="preserve"> </w:t>
      </w:r>
      <w:proofErr w:type="spellStart"/>
      <w:r w:rsidR="00C46BA0">
        <w:t>Civ</w:t>
      </w:r>
      <w:proofErr w:type="spellEnd"/>
      <w:r w:rsidR="00C46BA0">
        <w:t xml:space="preserve"> 1307</w:t>
      </w:r>
      <w:r w:rsidR="004F0ED9">
        <w:t>.</w:t>
      </w:r>
    </w:p>
    <w:p w:rsidRPr="00C46BA0" w:rsidR="006A2D79" w:rsidP="00A3198A" w:rsidRDefault="006A2D79" w14:paraId="7A882B8B" w14:textId="77777777">
      <w:pPr>
        <w:pStyle w:val="FootnoteText"/>
        <w:ind w:left="0" w:firstLine="0"/>
      </w:pPr>
    </w:p>
  </w:footnote>
  <w:footnote w:id="2">
    <w:p w:rsidR="00CC62C8" w:rsidRDefault="00CC62C8" w14:paraId="2F452EE9" w14:textId="11929012">
      <w:pPr>
        <w:pStyle w:val="FootnoteText"/>
      </w:pPr>
      <w:r>
        <w:rPr>
          <w:rStyle w:val="FootnoteReference"/>
        </w:rPr>
        <w:footnoteRef/>
      </w:r>
      <w:r>
        <w:t xml:space="preserve"> </w:t>
      </w:r>
      <w:r w:rsidR="00A3198A">
        <w:t xml:space="preserve">Available here: </w:t>
      </w:r>
      <w:hyperlink w:history="1" r:id="rId1">
        <w:r w:rsidRPr="00246C5F" w:rsidR="00A3198A">
          <w:rPr>
            <w:rStyle w:val="Hyperlink"/>
          </w:rPr>
          <w:t>cpag.org.uk/sites/default/files/2023-12/AT-Operational-Guidance-FOI-14-09-2023.pdf</w:t>
        </w:r>
      </w:hyperlink>
      <w:r w:rsidR="00A3198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0632"/>
    <w:multiLevelType w:val="hybridMultilevel"/>
    <w:tmpl w:val="2724D5E8"/>
    <w:lvl w:ilvl="0" w:tplc="DBB2D552">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B0362"/>
    <w:multiLevelType w:val="hybridMultilevel"/>
    <w:tmpl w:val="ECCC05EC"/>
    <w:lvl w:ilvl="0" w:tplc="0809000F">
      <w:start w:val="1"/>
      <w:numFmt w:val="decimal"/>
      <w:lvlText w:val="%1."/>
      <w:lvlJc w:val="left"/>
      <w:pPr>
        <w:ind w:left="991" w:hanging="360"/>
      </w:pPr>
    </w:lvl>
    <w:lvl w:ilvl="1" w:tplc="08090019">
      <w:start w:val="1"/>
      <w:numFmt w:val="lowerLetter"/>
      <w:lvlText w:val="%2."/>
      <w:lvlJc w:val="left"/>
      <w:pPr>
        <w:ind w:left="1711" w:hanging="360"/>
      </w:pPr>
    </w:lvl>
    <w:lvl w:ilvl="2" w:tplc="0809001B" w:tentative="1">
      <w:start w:val="1"/>
      <w:numFmt w:val="lowerRoman"/>
      <w:lvlText w:val="%3."/>
      <w:lvlJc w:val="right"/>
      <w:pPr>
        <w:ind w:left="2431" w:hanging="180"/>
      </w:pPr>
    </w:lvl>
    <w:lvl w:ilvl="3" w:tplc="0809000F" w:tentative="1">
      <w:start w:val="1"/>
      <w:numFmt w:val="decimal"/>
      <w:lvlText w:val="%4."/>
      <w:lvlJc w:val="left"/>
      <w:pPr>
        <w:ind w:left="3151" w:hanging="360"/>
      </w:pPr>
    </w:lvl>
    <w:lvl w:ilvl="4" w:tplc="08090019" w:tentative="1">
      <w:start w:val="1"/>
      <w:numFmt w:val="lowerLetter"/>
      <w:lvlText w:val="%5."/>
      <w:lvlJc w:val="left"/>
      <w:pPr>
        <w:ind w:left="3871" w:hanging="360"/>
      </w:pPr>
    </w:lvl>
    <w:lvl w:ilvl="5" w:tplc="0809001B" w:tentative="1">
      <w:start w:val="1"/>
      <w:numFmt w:val="lowerRoman"/>
      <w:lvlText w:val="%6."/>
      <w:lvlJc w:val="right"/>
      <w:pPr>
        <w:ind w:left="4591" w:hanging="180"/>
      </w:pPr>
    </w:lvl>
    <w:lvl w:ilvl="6" w:tplc="0809000F" w:tentative="1">
      <w:start w:val="1"/>
      <w:numFmt w:val="decimal"/>
      <w:lvlText w:val="%7."/>
      <w:lvlJc w:val="left"/>
      <w:pPr>
        <w:ind w:left="5311" w:hanging="360"/>
      </w:pPr>
    </w:lvl>
    <w:lvl w:ilvl="7" w:tplc="08090019" w:tentative="1">
      <w:start w:val="1"/>
      <w:numFmt w:val="lowerLetter"/>
      <w:lvlText w:val="%8."/>
      <w:lvlJc w:val="left"/>
      <w:pPr>
        <w:ind w:left="6031" w:hanging="360"/>
      </w:pPr>
    </w:lvl>
    <w:lvl w:ilvl="8" w:tplc="0809001B" w:tentative="1">
      <w:start w:val="1"/>
      <w:numFmt w:val="lowerRoman"/>
      <w:lvlText w:val="%9."/>
      <w:lvlJc w:val="right"/>
      <w:pPr>
        <w:ind w:left="6751" w:hanging="180"/>
      </w:pPr>
    </w:lvl>
  </w:abstractNum>
  <w:abstractNum w:abstractNumId="2" w15:restartNumberingAfterBreak="0">
    <w:nsid w:val="1DF754B1"/>
    <w:multiLevelType w:val="multilevel"/>
    <w:tmpl w:val="9F2AA998"/>
    <w:lvl w:ilvl="0">
      <w:start w:val="1"/>
      <w:numFmt w:val="decimal"/>
      <w:lvlText w:val=" %1."/>
      <w:lvlJc w:val="left"/>
      <w:pPr>
        <w:ind w:left="449" w:hanging="360"/>
      </w:pPr>
    </w:lvl>
    <w:lvl w:ilvl="1">
      <w:start w:val="1"/>
      <w:numFmt w:val="lowerLetter"/>
      <w:lvlText w:val="(%2)"/>
      <w:lvlJc w:val="left"/>
      <w:pPr>
        <w:ind w:left="809" w:hanging="360"/>
      </w:pPr>
    </w:lvl>
    <w:lvl w:ilvl="2">
      <w:start w:val="1"/>
      <w:numFmt w:val="lowerRoman"/>
      <w:lvlText w:val=" %3."/>
      <w:lvlJc w:val="left"/>
      <w:pPr>
        <w:ind w:left="1169" w:hanging="360"/>
      </w:pPr>
    </w:lvl>
    <w:lvl w:ilvl="3">
      <w:start w:val="1"/>
      <w:numFmt w:val="upperLetter"/>
      <w:lvlText w:val=" %4."/>
      <w:lvlJc w:val="left"/>
      <w:pPr>
        <w:ind w:left="1529" w:hanging="360"/>
      </w:pPr>
    </w:lvl>
    <w:lvl w:ilvl="4">
      <w:numFmt w:val="bullet"/>
      <w:lvlText w:val="•"/>
      <w:lvlJc w:val="left"/>
      <w:pPr>
        <w:ind w:left="1889" w:hanging="360"/>
      </w:pPr>
      <w:rPr>
        <w:rFonts w:ascii="StarSymbol" w:hAnsi="StarSymbol"/>
      </w:rPr>
    </w:lvl>
    <w:lvl w:ilvl="5">
      <w:numFmt w:val="bullet"/>
      <w:lvlText w:val="•"/>
      <w:lvlJc w:val="left"/>
      <w:pPr>
        <w:ind w:left="2249" w:hanging="360"/>
      </w:pPr>
      <w:rPr>
        <w:rFonts w:ascii="StarSymbol" w:hAnsi="StarSymbol"/>
      </w:rPr>
    </w:lvl>
    <w:lvl w:ilvl="6">
      <w:numFmt w:val="bullet"/>
      <w:lvlText w:val="•"/>
      <w:lvlJc w:val="left"/>
      <w:pPr>
        <w:ind w:left="2609" w:hanging="360"/>
      </w:pPr>
      <w:rPr>
        <w:rFonts w:ascii="StarSymbol" w:hAnsi="StarSymbol"/>
      </w:rPr>
    </w:lvl>
    <w:lvl w:ilvl="7">
      <w:numFmt w:val="bullet"/>
      <w:lvlText w:val="•"/>
      <w:lvlJc w:val="left"/>
      <w:pPr>
        <w:ind w:left="2969" w:hanging="360"/>
      </w:pPr>
      <w:rPr>
        <w:rFonts w:ascii="StarSymbol" w:hAnsi="StarSymbol"/>
      </w:rPr>
    </w:lvl>
    <w:lvl w:ilvl="8">
      <w:numFmt w:val="bullet"/>
      <w:lvlText w:val="•"/>
      <w:lvlJc w:val="left"/>
      <w:pPr>
        <w:ind w:left="3329" w:hanging="360"/>
      </w:pPr>
      <w:rPr>
        <w:rFonts w:ascii="StarSymbol" w:hAnsi="StarSymbol"/>
      </w:rPr>
    </w:lvl>
  </w:abstractNum>
  <w:abstractNum w:abstractNumId="3" w15:restartNumberingAfterBreak="0">
    <w:nsid w:val="203E2D1D"/>
    <w:multiLevelType w:val="hybridMultilevel"/>
    <w:tmpl w:val="34621356"/>
    <w:lvl w:ilvl="0" w:tplc="16CCD2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ED4E67"/>
    <w:multiLevelType w:val="hybridMultilevel"/>
    <w:tmpl w:val="03D8B3E6"/>
    <w:lvl w:ilvl="0" w:tplc="C81EC554">
      <w:start w:val="33"/>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CF1F10"/>
    <w:multiLevelType w:val="hybridMultilevel"/>
    <w:tmpl w:val="35AA416E"/>
    <w:lvl w:ilvl="0" w:tplc="F6A25072">
      <w:start w:val="3"/>
      <w:numFmt w:val="decimal"/>
      <w:lvlText w:val="%1."/>
      <w:lvlJc w:val="left"/>
      <w:pPr>
        <w:ind w:left="718"/>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87EE2E56">
      <w:start w:val="1"/>
      <w:numFmt w:val="lowerLetter"/>
      <w:lvlText w:val="%2"/>
      <w:lvlJc w:val="left"/>
      <w:pPr>
        <w:ind w:left="14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0ED0AF84">
      <w:start w:val="1"/>
      <w:numFmt w:val="lowerRoman"/>
      <w:lvlText w:val="%3"/>
      <w:lvlJc w:val="left"/>
      <w:pPr>
        <w:ind w:left="21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E702B3EC">
      <w:start w:val="1"/>
      <w:numFmt w:val="decimal"/>
      <w:lvlText w:val="%4"/>
      <w:lvlJc w:val="left"/>
      <w:pPr>
        <w:ind w:left="28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F1F25F26">
      <w:start w:val="1"/>
      <w:numFmt w:val="lowerLetter"/>
      <w:lvlText w:val="%5"/>
      <w:lvlJc w:val="left"/>
      <w:pPr>
        <w:ind w:left="36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A6EE764A">
      <w:start w:val="1"/>
      <w:numFmt w:val="lowerRoman"/>
      <w:lvlText w:val="%6"/>
      <w:lvlJc w:val="left"/>
      <w:pPr>
        <w:ind w:left="43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5EF0AFD0">
      <w:start w:val="1"/>
      <w:numFmt w:val="decimal"/>
      <w:lvlText w:val="%7"/>
      <w:lvlJc w:val="left"/>
      <w:pPr>
        <w:ind w:left="50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3AAC577E">
      <w:start w:val="1"/>
      <w:numFmt w:val="lowerLetter"/>
      <w:lvlText w:val="%8"/>
      <w:lvlJc w:val="left"/>
      <w:pPr>
        <w:ind w:left="57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18CE1652">
      <w:start w:val="1"/>
      <w:numFmt w:val="lowerRoman"/>
      <w:lvlText w:val="%9"/>
      <w:lvlJc w:val="left"/>
      <w:pPr>
        <w:ind w:left="64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6" w15:restartNumberingAfterBreak="0">
    <w:nsid w:val="35013689"/>
    <w:multiLevelType w:val="hybridMultilevel"/>
    <w:tmpl w:val="6F603248"/>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214EDA"/>
    <w:multiLevelType w:val="hybridMultilevel"/>
    <w:tmpl w:val="6B52AFF8"/>
    <w:lvl w:ilvl="0" w:tplc="504837B8">
      <w:start w:val="61"/>
      <w:numFmt w:val="decimal"/>
      <w:lvlText w:val="%1."/>
      <w:lvlJc w:val="left"/>
      <w:pPr>
        <w:ind w:left="70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0FF6D522">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085ABCA4">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4F46ADEA">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574EE73A">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51FCA95C">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B74C72D2">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614C2DA4">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5F969A9A">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8" w15:restartNumberingAfterBreak="0">
    <w:nsid w:val="4D92178F"/>
    <w:multiLevelType w:val="hybridMultilevel"/>
    <w:tmpl w:val="EAC2AC40"/>
    <w:lvl w:ilvl="0" w:tplc="BEAC7206">
      <w:start w:val="3"/>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505262"/>
    <w:multiLevelType w:val="hybridMultilevel"/>
    <w:tmpl w:val="6C3A654E"/>
    <w:lvl w:ilvl="0" w:tplc="C7523CD6">
      <w:start w:val="66"/>
      <w:numFmt w:val="decimal"/>
      <w:lvlText w:val="%1."/>
      <w:lvlJc w:val="left"/>
      <w:pPr>
        <w:ind w:left="70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3DFC379A">
      <w:start w:val="38"/>
      <w:numFmt w:val="decimal"/>
      <w:lvlText w:val="[%2]"/>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919698C8">
      <w:start w:val="1"/>
      <w:numFmt w:val="lowerRoman"/>
      <w:lvlText w:val="%3"/>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CCCE7806">
      <w:start w:val="1"/>
      <w:numFmt w:val="decimal"/>
      <w:lvlText w:val="%4"/>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229647F8">
      <w:start w:val="1"/>
      <w:numFmt w:val="lowerLetter"/>
      <w:lvlText w:val="%5"/>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7A28B9D2">
      <w:start w:val="1"/>
      <w:numFmt w:val="lowerRoman"/>
      <w:lvlText w:val="%6"/>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65EEDAD2">
      <w:start w:val="1"/>
      <w:numFmt w:val="decimal"/>
      <w:lvlText w:val="%7"/>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280CDE4A">
      <w:start w:val="1"/>
      <w:numFmt w:val="lowerLetter"/>
      <w:lvlText w:val="%8"/>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54A49956">
      <w:start w:val="1"/>
      <w:numFmt w:val="lowerRoman"/>
      <w:lvlText w:val="%9"/>
      <w:lvlJc w:val="left"/>
      <w:pPr>
        <w:ind w:left="68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0" w15:restartNumberingAfterBreak="0">
    <w:nsid w:val="55C51FBD"/>
    <w:multiLevelType w:val="hybridMultilevel"/>
    <w:tmpl w:val="36C802D6"/>
    <w:lvl w:ilvl="0" w:tplc="0809000F">
      <w:start w:val="1"/>
      <w:numFmt w:val="decimal"/>
      <w:lvlText w:val="%1."/>
      <w:lvlJc w:val="left"/>
      <w:pPr>
        <w:ind w:left="991" w:hanging="360"/>
      </w:pPr>
    </w:lvl>
    <w:lvl w:ilvl="1" w:tplc="08090019">
      <w:start w:val="1"/>
      <w:numFmt w:val="lowerLetter"/>
      <w:lvlText w:val="%2."/>
      <w:lvlJc w:val="left"/>
      <w:pPr>
        <w:ind w:left="1711" w:hanging="360"/>
      </w:pPr>
    </w:lvl>
    <w:lvl w:ilvl="2" w:tplc="0809001B">
      <w:start w:val="1"/>
      <w:numFmt w:val="lowerRoman"/>
      <w:lvlText w:val="%3."/>
      <w:lvlJc w:val="right"/>
      <w:pPr>
        <w:ind w:left="2431" w:hanging="180"/>
      </w:pPr>
    </w:lvl>
    <w:lvl w:ilvl="3" w:tplc="0809000F" w:tentative="1">
      <w:start w:val="1"/>
      <w:numFmt w:val="decimal"/>
      <w:lvlText w:val="%4."/>
      <w:lvlJc w:val="left"/>
      <w:pPr>
        <w:ind w:left="3151" w:hanging="360"/>
      </w:pPr>
    </w:lvl>
    <w:lvl w:ilvl="4" w:tplc="08090019" w:tentative="1">
      <w:start w:val="1"/>
      <w:numFmt w:val="lowerLetter"/>
      <w:lvlText w:val="%5."/>
      <w:lvlJc w:val="left"/>
      <w:pPr>
        <w:ind w:left="3871" w:hanging="360"/>
      </w:pPr>
    </w:lvl>
    <w:lvl w:ilvl="5" w:tplc="0809001B" w:tentative="1">
      <w:start w:val="1"/>
      <w:numFmt w:val="lowerRoman"/>
      <w:lvlText w:val="%6."/>
      <w:lvlJc w:val="right"/>
      <w:pPr>
        <w:ind w:left="4591" w:hanging="180"/>
      </w:pPr>
    </w:lvl>
    <w:lvl w:ilvl="6" w:tplc="0809000F" w:tentative="1">
      <w:start w:val="1"/>
      <w:numFmt w:val="decimal"/>
      <w:lvlText w:val="%7."/>
      <w:lvlJc w:val="left"/>
      <w:pPr>
        <w:ind w:left="5311" w:hanging="360"/>
      </w:pPr>
    </w:lvl>
    <w:lvl w:ilvl="7" w:tplc="08090019" w:tentative="1">
      <w:start w:val="1"/>
      <w:numFmt w:val="lowerLetter"/>
      <w:lvlText w:val="%8."/>
      <w:lvlJc w:val="left"/>
      <w:pPr>
        <w:ind w:left="6031" w:hanging="360"/>
      </w:pPr>
    </w:lvl>
    <w:lvl w:ilvl="8" w:tplc="0809001B" w:tentative="1">
      <w:start w:val="1"/>
      <w:numFmt w:val="lowerRoman"/>
      <w:lvlText w:val="%9."/>
      <w:lvlJc w:val="right"/>
      <w:pPr>
        <w:ind w:left="6751" w:hanging="180"/>
      </w:pPr>
    </w:lvl>
  </w:abstractNum>
  <w:abstractNum w:abstractNumId="11" w15:restartNumberingAfterBreak="0">
    <w:nsid w:val="79B42EE1"/>
    <w:multiLevelType w:val="hybridMultilevel"/>
    <w:tmpl w:val="3370AF08"/>
    <w:lvl w:ilvl="0" w:tplc="33583700">
      <w:start w:val="1"/>
      <w:numFmt w:val="decimal"/>
      <w:lvlText w:val="%1."/>
      <w:lvlJc w:val="left"/>
      <w:pPr>
        <w:ind w:left="1247" w:firstLine="0"/>
      </w:pPr>
      <w:rPr>
        <w:rFonts w:ascii="Times New Roman" w:hAnsi="Times New Roman" w:eastAsia="Times New Roman" w:cs="Times New Roman"/>
        <w:b w:val="0"/>
        <w:i w:val="0"/>
        <w:strike w:val="0"/>
        <w:dstrike w:val="0"/>
        <w:color w:val="000000"/>
        <w:sz w:val="20"/>
        <w:szCs w:val="20"/>
        <w:u w:val="none" w:color="000000"/>
        <w:effect w:val="none"/>
        <w:bdr w:val="none" w:color="auto" w:sz="0" w:space="0" w:frame="1"/>
        <w:vertAlign w:val="baseline"/>
      </w:rPr>
    </w:lvl>
    <w:lvl w:ilvl="1" w:tplc="7BE44688">
      <w:start w:val="1"/>
      <w:numFmt w:val="lowerLetter"/>
      <w:lvlText w:val="%2"/>
      <w:lvlJc w:val="left"/>
      <w:pPr>
        <w:ind w:left="1095" w:firstLine="0"/>
      </w:pPr>
      <w:rPr>
        <w:rFonts w:ascii="Times New Roman" w:hAnsi="Times New Roman" w:eastAsia="Times New Roman" w:cs="Times New Roman"/>
        <w:b w:val="0"/>
        <w:i w:val="0"/>
        <w:strike w:val="0"/>
        <w:dstrike w:val="0"/>
        <w:color w:val="000000"/>
        <w:sz w:val="20"/>
        <w:szCs w:val="20"/>
        <w:u w:val="none" w:color="000000"/>
        <w:effect w:val="none"/>
        <w:bdr w:val="none" w:color="auto" w:sz="0" w:space="0" w:frame="1"/>
        <w:vertAlign w:val="baseline"/>
      </w:rPr>
    </w:lvl>
    <w:lvl w:ilvl="2" w:tplc="269A3F54">
      <w:start w:val="1"/>
      <w:numFmt w:val="lowerRoman"/>
      <w:lvlText w:val="%3"/>
      <w:lvlJc w:val="left"/>
      <w:pPr>
        <w:ind w:left="1815" w:firstLine="0"/>
      </w:pPr>
      <w:rPr>
        <w:rFonts w:ascii="Times New Roman" w:hAnsi="Times New Roman" w:eastAsia="Times New Roman" w:cs="Times New Roman"/>
        <w:b w:val="0"/>
        <w:i w:val="0"/>
        <w:strike w:val="0"/>
        <w:dstrike w:val="0"/>
        <w:color w:val="000000"/>
        <w:sz w:val="20"/>
        <w:szCs w:val="20"/>
        <w:u w:val="none" w:color="000000"/>
        <w:effect w:val="none"/>
        <w:bdr w:val="none" w:color="auto" w:sz="0" w:space="0" w:frame="1"/>
        <w:vertAlign w:val="baseline"/>
      </w:rPr>
    </w:lvl>
    <w:lvl w:ilvl="3" w:tplc="08D663BA">
      <w:start w:val="1"/>
      <w:numFmt w:val="decimal"/>
      <w:lvlText w:val="%4"/>
      <w:lvlJc w:val="left"/>
      <w:pPr>
        <w:ind w:left="2535" w:firstLine="0"/>
      </w:pPr>
      <w:rPr>
        <w:rFonts w:ascii="Times New Roman" w:hAnsi="Times New Roman" w:eastAsia="Times New Roman" w:cs="Times New Roman"/>
        <w:b w:val="0"/>
        <w:i w:val="0"/>
        <w:strike w:val="0"/>
        <w:dstrike w:val="0"/>
        <w:color w:val="000000"/>
        <w:sz w:val="20"/>
        <w:szCs w:val="20"/>
        <w:u w:val="none" w:color="000000"/>
        <w:effect w:val="none"/>
        <w:bdr w:val="none" w:color="auto" w:sz="0" w:space="0" w:frame="1"/>
        <w:vertAlign w:val="baseline"/>
      </w:rPr>
    </w:lvl>
    <w:lvl w:ilvl="4" w:tplc="5F76916E">
      <w:start w:val="1"/>
      <w:numFmt w:val="lowerLetter"/>
      <w:lvlText w:val="%5"/>
      <w:lvlJc w:val="left"/>
      <w:pPr>
        <w:ind w:left="3255" w:firstLine="0"/>
      </w:pPr>
      <w:rPr>
        <w:rFonts w:ascii="Times New Roman" w:hAnsi="Times New Roman" w:eastAsia="Times New Roman" w:cs="Times New Roman"/>
        <w:b w:val="0"/>
        <w:i w:val="0"/>
        <w:strike w:val="0"/>
        <w:dstrike w:val="0"/>
        <w:color w:val="000000"/>
        <w:sz w:val="20"/>
        <w:szCs w:val="20"/>
        <w:u w:val="none" w:color="000000"/>
        <w:effect w:val="none"/>
        <w:bdr w:val="none" w:color="auto" w:sz="0" w:space="0" w:frame="1"/>
        <w:vertAlign w:val="baseline"/>
      </w:rPr>
    </w:lvl>
    <w:lvl w:ilvl="5" w:tplc="D690D0B6">
      <w:start w:val="1"/>
      <w:numFmt w:val="lowerRoman"/>
      <w:lvlText w:val="%6"/>
      <w:lvlJc w:val="left"/>
      <w:pPr>
        <w:ind w:left="3975" w:firstLine="0"/>
      </w:pPr>
      <w:rPr>
        <w:rFonts w:ascii="Times New Roman" w:hAnsi="Times New Roman" w:eastAsia="Times New Roman" w:cs="Times New Roman"/>
        <w:b w:val="0"/>
        <w:i w:val="0"/>
        <w:strike w:val="0"/>
        <w:dstrike w:val="0"/>
        <w:color w:val="000000"/>
        <w:sz w:val="20"/>
        <w:szCs w:val="20"/>
        <w:u w:val="none" w:color="000000"/>
        <w:effect w:val="none"/>
        <w:bdr w:val="none" w:color="auto" w:sz="0" w:space="0" w:frame="1"/>
        <w:vertAlign w:val="baseline"/>
      </w:rPr>
    </w:lvl>
    <w:lvl w:ilvl="6" w:tplc="655E402C">
      <w:start w:val="1"/>
      <w:numFmt w:val="decimal"/>
      <w:lvlText w:val="%7"/>
      <w:lvlJc w:val="left"/>
      <w:pPr>
        <w:ind w:left="4695" w:firstLine="0"/>
      </w:pPr>
      <w:rPr>
        <w:rFonts w:ascii="Times New Roman" w:hAnsi="Times New Roman" w:eastAsia="Times New Roman" w:cs="Times New Roman"/>
        <w:b w:val="0"/>
        <w:i w:val="0"/>
        <w:strike w:val="0"/>
        <w:dstrike w:val="0"/>
        <w:color w:val="000000"/>
        <w:sz w:val="20"/>
        <w:szCs w:val="20"/>
        <w:u w:val="none" w:color="000000"/>
        <w:effect w:val="none"/>
        <w:bdr w:val="none" w:color="auto" w:sz="0" w:space="0" w:frame="1"/>
        <w:vertAlign w:val="baseline"/>
      </w:rPr>
    </w:lvl>
    <w:lvl w:ilvl="7" w:tplc="232CA2D2">
      <w:start w:val="1"/>
      <w:numFmt w:val="lowerLetter"/>
      <w:lvlText w:val="%8"/>
      <w:lvlJc w:val="left"/>
      <w:pPr>
        <w:ind w:left="5415" w:firstLine="0"/>
      </w:pPr>
      <w:rPr>
        <w:rFonts w:ascii="Times New Roman" w:hAnsi="Times New Roman" w:eastAsia="Times New Roman" w:cs="Times New Roman"/>
        <w:b w:val="0"/>
        <w:i w:val="0"/>
        <w:strike w:val="0"/>
        <w:dstrike w:val="0"/>
        <w:color w:val="000000"/>
        <w:sz w:val="20"/>
        <w:szCs w:val="20"/>
        <w:u w:val="none" w:color="000000"/>
        <w:effect w:val="none"/>
        <w:bdr w:val="none" w:color="auto" w:sz="0" w:space="0" w:frame="1"/>
        <w:vertAlign w:val="baseline"/>
      </w:rPr>
    </w:lvl>
    <w:lvl w:ilvl="8" w:tplc="C096C3DC">
      <w:start w:val="1"/>
      <w:numFmt w:val="lowerRoman"/>
      <w:lvlText w:val="%9"/>
      <w:lvlJc w:val="left"/>
      <w:pPr>
        <w:ind w:left="6135" w:firstLine="0"/>
      </w:pPr>
      <w:rPr>
        <w:rFonts w:ascii="Times New Roman" w:hAnsi="Times New Roman" w:eastAsia="Times New Roman" w:cs="Times New Roman"/>
        <w:b w:val="0"/>
        <w:i w:val="0"/>
        <w:strike w:val="0"/>
        <w:dstrike w:val="0"/>
        <w:color w:val="000000"/>
        <w:sz w:val="20"/>
        <w:szCs w:val="20"/>
        <w:u w:val="none" w:color="000000"/>
        <w:effect w:val="none"/>
        <w:bdr w:val="none" w:color="auto" w:sz="0" w:space="0" w:frame="1"/>
        <w:vertAlign w:val="baseline"/>
      </w:rPr>
    </w:lvl>
  </w:abstractNum>
  <w:num w:numId="1" w16cid:durableId="611788105">
    <w:abstractNumId w:val="2"/>
  </w:num>
  <w:num w:numId="2" w16cid:durableId="1323267964">
    <w:abstractNumId w:val="3"/>
  </w:num>
  <w:num w:numId="3" w16cid:durableId="1002246800">
    <w:abstractNumId w:val="10"/>
  </w:num>
  <w:num w:numId="4" w16cid:durableId="930311646">
    <w:abstractNumId w:val="7"/>
  </w:num>
  <w:num w:numId="5" w16cid:durableId="688259965">
    <w:abstractNumId w:val="9"/>
  </w:num>
  <w:num w:numId="6" w16cid:durableId="786002655">
    <w:abstractNumId w:val="1"/>
  </w:num>
  <w:num w:numId="7" w16cid:durableId="1418358894">
    <w:abstractNumId w:val="6"/>
  </w:num>
  <w:num w:numId="8" w16cid:durableId="12774421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2708735">
    <w:abstractNumId w:val="4"/>
  </w:num>
  <w:num w:numId="10" w16cid:durableId="1981686280">
    <w:abstractNumId w:val="8"/>
  </w:num>
  <w:num w:numId="11" w16cid:durableId="575670005">
    <w:abstractNumId w:val="0"/>
  </w:num>
  <w:num w:numId="12" w16cid:durableId="570847870">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attachedTemplate r:id="rId1"/>
  <w:trackRevisions w:val="false"/>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58"/>
    <w:rsid w:val="0000140F"/>
    <w:rsid w:val="00014236"/>
    <w:rsid w:val="00031D53"/>
    <w:rsid w:val="00052A42"/>
    <w:rsid w:val="000671E6"/>
    <w:rsid w:val="0008580E"/>
    <w:rsid w:val="00093EB3"/>
    <w:rsid w:val="0009627B"/>
    <w:rsid w:val="00097C82"/>
    <w:rsid w:val="000B0DE3"/>
    <w:rsid w:val="000B2B45"/>
    <w:rsid w:val="000B3D3A"/>
    <w:rsid w:val="000B6169"/>
    <w:rsid w:val="000B7430"/>
    <w:rsid w:val="000F391D"/>
    <w:rsid w:val="00103F61"/>
    <w:rsid w:val="0010714D"/>
    <w:rsid w:val="001233C6"/>
    <w:rsid w:val="00127D52"/>
    <w:rsid w:val="00135480"/>
    <w:rsid w:val="001374EE"/>
    <w:rsid w:val="00147063"/>
    <w:rsid w:val="001704EA"/>
    <w:rsid w:val="00171030"/>
    <w:rsid w:val="00187727"/>
    <w:rsid w:val="001C5545"/>
    <w:rsid w:val="001D3AD1"/>
    <w:rsid w:val="001F44DF"/>
    <w:rsid w:val="001F7851"/>
    <w:rsid w:val="0022350B"/>
    <w:rsid w:val="00233B67"/>
    <w:rsid w:val="002555BB"/>
    <w:rsid w:val="00282FE8"/>
    <w:rsid w:val="00284F9A"/>
    <w:rsid w:val="002911DB"/>
    <w:rsid w:val="002957EF"/>
    <w:rsid w:val="002B0EBE"/>
    <w:rsid w:val="002B720D"/>
    <w:rsid w:val="002C44C5"/>
    <w:rsid w:val="002E4B20"/>
    <w:rsid w:val="003138FF"/>
    <w:rsid w:val="003139FE"/>
    <w:rsid w:val="00317F7E"/>
    <w:rsid w:val="00330B57"/>
    <w:rsid w:val="00331706"/>
    <w:rsid w:val="003716B2"/>
    <w:rsid w:val="003805C4"/>
    <w:rsid w:val="003877AA"/>
    <w:rsid w:val="003A18B2"/>
    <w:rsid w:val="003B2E93"/>
    <w:rsid w:val="003C5067"/>
    <w:rsid w:val="003E2FD4"/>
    <w:rsid w:val="003E7E43"/>
    <w:rsid w:val="004019BA"/>
    <w:rsid w:val="00404205"/>
    <w:rsid w:val="00406E4B"/>
    <w:rsid w:val="004076DB"/>
    <w:rsid w:val="004202B6"/>
    <w:rsid w:val="00443986"/>
    <w:rsid w:val="00445312"/>
    <w:rsid w:val="00450943"/>
    <w:rsid w:val="00485B3B"/>
    <w:rsid w:val="004933EB"/>
    <w:rsid w:val="004A0267"/>
    <w:rsid w:val="004A6560"/>
    <w:rsid w:val="004A797F"/>
    <w:rsid w:val="004E03E9"/>
    <w:rsid w:val="004F0ED9"/>
    <w:rsid w:val="005126F3"/>
    <w:rsid w:val="005131A0"/>
    <w:rsid w:val="00544FC5"/>
    <w:rsid w:val="00546E09"/>
    <w:rsid w:val="00555D90"/>
    <w:rsid w:val="005703EC"/>
    <w:rsid w:val="005966F4"/>
    <w:rsid w:val="005A4D92"/>
    <w:rsid w:val="005B163B"/>
    <w:rsid w:val="005B52AC"/>
    <w:rsid w:val="005C04EA"/>
    <w:rsid w:val="005D2CF7"/>
    <w:rsid w:val="005D774B"/>
    <w:rsid w:val="005E382B"/>
    <w:rsid w:val="005F1D78"/>
    <w:rsid w:val="00615B93"/>
    <w:rsid w:val="00615BED"/>
    <w:rsid w:val="00616B95"/>
    <w:rsid w:val="0065192C"/>
    <w:rsid w:val="0065423A"/>
    <w:rsid w:val="00654F0F"/>
    <w:rsid w:val="00693AFB"/>
    <w:rsid w:val="00696613"/>
    <w:rsid w:val="006A2D79"/>
    <w:rsid w:val="006A7856"/>
    <w:rsid w:val="006B112D"/>
    <w:rsid w:val="006B66E4"/>
    <w:rsid w:val="006B70FC"/>
    <w:rsid w:val="006C4D20"/>
    <w:rsid w:val="006D2553"/>
    <w:rsid w:val="006E3A50"/>
    <w:rsid w:val="006F4085"/>
    <w:rsid w:val="00731736"/>
    <w:rsid w:val="00731A10"/>
    <w:rsid w:val="00766E1A"/>
    <w:rsid w:val="00767C53"/>
    <w:rsid w:val="00767E35"/>
    <w:rsid w:val="007727FA"/>
    <w:rsid w:val="00783367"/>
    <w:rsid w:val="00785EDD"/>
    <w:rsid w:val="007A4BB0"/>
    <w:rsid w:val="007A4C97"/>
    <w:rsid w:val="007B0D19"/>
    <w:rsid w:val="007B343F"/>
    <w:rsid w:val="007C189F"/>
    <w:rsid w:val="007D149A"/>
    <w:rsid w:val="007E2416"/>
    <w:rsid w:val="007F731C"/>
    <w:rsid w:val="008315D2"/>
    <w:rsid w:val="008460C7"/>
    <w:rsid w:val="0085725C"/>
    <w:rsid w:val="00864FEF"/>
    <w:rsid w:val="00887240"/>
    <w:rsid w:val="008941F5"/>
    <w:rsid w:val="008B1451"/>
    <w:rsid w:val="008D1DC3"/>
    <w:rsid w:val="008D2FF4"/>
    <w:rsid w:val="008D5343"/>
    <w:rsid w:val="008E52C7"/>
    <w:rsid w:val="008E5DEB"/>
    <w:rsid w:val="008F009B"/>
    <w:rsid w:val="008F0E07"/>
    <w:rsid w:val="008F2E50"/>
    <w:rsid w:val="008F6475"/>
    <w:rsid w:val="00907036"/>
    <w:rsid w:val="00925941"/>
    <w:rsid w:val="0095213B"/>
    <w:rsid w:val="00972B31"/>
    <w:rsid w:val="00972FFA"/>
    <w:rsid w:val="00973A76"/>
    <w:rsid w:val="00995F07"/>
    <w:rsid w:val="009B0833"/>
    <w:rsid w:val="009B24A0"/>
    <w:rsid w:val="009E0FE0"/>
    <w:rsid w:val="009E6412"/>
    <w:rsid w:val="00A20F1F"/>
    <w:rsid w:val="00A24C99"/>
    <w:rsid w:val="00A3198A"/>
    <w:rsid w:val="00A365F1"/>
    <w:rsid w:val="00A46696"/>
    <w:rsid w:val="00A607CE"/>
    <w:rsid w:val="00A634A7"/>
    <w:rsid w:val="00A65AE6"/>
    <w:rsid w:val="00A932A8"/>
    <w:rsid w:val="00AA5DFD"/>
    <w:rsid w:val="00AB7507"/>
    <w:rsid w:val="00AC0795"/>
    <w:rsid w:val="00AC3A19"/>
    <w:rsid w:val="00AC4270"/>
    <w:rsid w:val="00AC69D3"/>
    <w:rsid w:val="00AE20EC"/>
    <w:rsid w:val="00AF234F"/>
    <w:rsid w:val="00B06925"/>
    <w:rsid w:val="00B22265"/>
    <w:rsid w:val="00B27FA8"/>
    <w:rsid w:val="00B305CF"/>
    <w:rsid w:val="00B340E6"/>
    <w:rsid w:val="00B45719"/>
    <w:rsid w:val="00B473BE"/>
    <w:rsid w:val="00B51AF7"/>
    <w:rsid w:val="00B7108A"/>
    <w:rsid w:val="00B832D6"/>
    <w:rsid w:val="00B84064"/>
    <w:rsid w:val="00BB48BD"/>
    <w:rsid w:val="00BD1580"/>
    <w:rsid w:val="00BD1C55"/>
    <w:rsid w:val="00BF09B8"/>
    <w:rsid w:val="00BF0F21"/>
    <w:rsid w:val="00BF3002"/>
    <w:rsid w:val="00C001CF"/>
    <w:rsid w:val="00C017B8"/>
    <w:rsid w:val="00C06886"/>
    <w:rsid w:val="00C10DFC"/>
    <w:rsid w:val="00C42895"/>
    <w:rsid w:val="00C46BA0"/>
    <w:rsid w:val="00C66CA4"/>
    <w:rsid w:val="00C7673D"/>
    <w:rsid w:val="00C91E2F"/>
    <w:rsid w:val="00CA059E"/>
    <w:rsid w:val="00CA53F2"/>
    <w:rsid w:val="00CB388F"/>
    <w:rsid w:val="00CC1D91"/>
    <w:rsid w:val="00CC39A1"/>
    <w:rsid w:val="00CC62C8"/>
    <w:rsid w:val="00CD48C5"/>
    <w:rsid w:val="00CE2D67"/>
    <w:rsid w:val="00CE65E9"/>
    <w:rsid w:val="00CF7254"/>
    <w:rsid w:val="00D10104"/>
    <w:rsid w:val="00D23028"/>
    <w:rsid w:val="00D3391A"/>
    <w:rsid w:val="00D4790F"/>
    <w:rsid w:val="00D53E23"/>
    <w:rsid w:val="00D81625"/>
    <w:rsid w:val="00D82C50"/>
    <w:rsid w:val="00D91146"/>
    <w:rsid w:val="00D92CD5"/>
    <w:rsid w:val="00DB28FE"/>
    <w:rsid w:val="00DB4D38"/>
    <w:rsid w:val="00DD2DAE"/>
    <w:rsid w:val="00DD389B"/>
    <w:rsid w:val="00DF1F35"/>
    <w:rsid w:val="00E01204"/>
    <w:rsid w:val="00E12B0A"/>
    <w:rsid w:val="00E13D03"/>
    <w:rsid w:val="00E20240"/>
    <w:rsid w:val="00E20C99"/>
    <w:rsid w:val="00E401F9"/>
    <w:rsid w:val="00E72733"/>
    <w:rsid w:val="00E72C3D"/>
    <w:rsid w:val="00E760D0"/>
    <w:rsid w:val="00E8132F"/>
    <w:rsid w:val="00EC34B4"/>
    <w:rsid w:val="00EC3717"/>
    <w:rsid w:val="00EE2D71"/>
    <w:rsid w:val="00EE43A5"/>
    <w:rsid w:val="00F276D7"/>
    <w:rsid w:val="00F32581"/>
    <w:rsid w:val="00F60EB0"/>
    <w:rsid w:val="00F73905"/>
    <w:rsid w:val="00F7436D"/>
    <w:rsid w:val="00F84258"/>
    <w:rsid w:val="00FB0011"/>
    <w:rsid w:val="00FB58C3"/>
    <w:rsid w:val="00FB6F07"/>
    <w:rsid w:val="0A9F2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D009"/>
  <w15:docId w15:val="{CCB23C65-2F0E-437B-AF8B-877434500C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Liberation Serif" w:hAnsi="Liberation Serif" w:eastAsia="Noto Serif CJK SC" w:cs="Free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3B67"/>
    <w:pPr>
      <w:suppressAutoHyphens w:val="0"/>
      <w:autoSpaceDN/>
      <w:spacing w:after="5" w:line="250" w:lineRule="auto"/>
      <w:ind w:left="358" w:hanging="358"/>
      <w:jc w:val="both"/>
      <w:textAlignment w:val="auto"/>
    </w:pPr>
    <w:rPr>
      <w:rFonts w:ascii="Calibri" w:hAnsi="Calibri" w:eastAsia="Calibri" w:cs="Calibri"/>
      <w:color w:val="000000"/>
      <w:kern w:val="0"/>
      <w:szCs w:val="22"/>
      <w:lang w:eastAsia="en-GB" w:bidi="ar-SA"/>
    </w:rPr>
  </w:style>
  <w:style w:type="paragraph" w:styleId="Heading3">
    <w:name w:val="heading 3"/>
    <w:basedOn w:val="Normal"/>
    <w:link w:val="Heading3Char"/>
    <w:uiPriority w:val="9"/>
    <w:qFormat/>
    <w:rsid w:val="0008580E"/>
    <w:pPr>
      <w:spacing w:before="100" w:beforeAutospacing="1" w:after="100" w:afterAutospacing="1" w:line="240" w:lineRule="auto"/>
      <w:outlineLvl w:val="2"/>
    </w:pPr>
    <w:rPr>
      <w:rFonts w:ascii="Times New Roman" w:hAnsi="Times New Roman" w:eastAsia="Times New Roman" w:cs="Times New Roman"/>
      <w:b/>
      <w:bCs/>
      <w:color w:val="auto"/>
      <w:sz w:val="27"/>
      <w:szCs w:val="27"/>
    </w:rPr>
  </w:style>
  <w:style w:type="paragraph" w:styleId="Heading4">
    <w:name w:val="heading 4"/>
    <w:basedOn w:val="Normal"/>
    <w:next w:val="Normal"/>
    <w:link w:val="Heading4Char"/>
    <w:uiPriority w:val="9"/>
    <w:unhideWhenUsed/>
    <w:qFormat/>
    <w:rsid w:val="00445312"/>
    <w:pPr>
      <w:keepNext/>
      <w:keepLines/>
      <w:suppressAutoHyphens/>
      <w:autoSpaceDN w:val="0"/>
      <w:spacing w:before="40" w:after="0" w:line="240" w:lineRule="auto"/>
      <w:textAlignment w:val="baseline"/>
      <w:outlineLvl w:val="3"/>
    </w:pPr>
    <w:rPr>
      <w:rFonts w:cs="Mangal" w:asciiTheme="majorHAnsi" w:hAnsiTheme="majorHAnsi" w:eastAsiaTheme="majorEastAsia"/>
      <w:i/>
      <w:iCs/>
      <w:color w:val="2E74B5" w:themeColor="accent1" w:themeShade="BF"/>
      <w:kern w:val="3"/>
      <w:szCs w:val="21"/>
      <w:lang w:eastAsia="zh-CN" w:bidi="hi-I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08580E"/>
    <w:rPr>
      <w:rFonts w:ascii="Times New Roman" w:hAnsi="Times New Roman" w:eastAsia="Times New Roman" w:cs="Times New Roman"/>
      <w:b/>
      <w:bCs/>
      <w:kern w:val="0"/>
      <w:sz w:val="27"/>
      <w:szCs w:val="27"/>
      <w:lang w:eastAsia="en-GB" w:bidi="ar-SA"/>
    </w:rPr>
  </w:style>
  <w:style w:type="character" w:styleId="Heading4Char" w:customStyle="1">
    <w:name w:val="Heading 4 Char"/>
    <w:basedOn w:val="DefaultParagraphFont"/>
    <w:link w:val="Heading4"/>
    <w:uiPriority w:val="9"/>
    <w:rsid w:val="00445312"/>
    <w:rPr>
      <w:rFonts w:cs="Mangal" w:asciiTheme="majorHAnsi" w:hAnsiTheme="majorHAnsi" w:eastAsiaTheme="majorEastAsia"/>
      <w:i/>
      <w:iCs/>
      <w:color w:val="2E74B5" w:themeColor="accent1" w:themeShade="BF"/>
      <w:szCs w:val="21"/>
    </w:rPr>
  </w:style>
  <w:style w:type="paragraph" w:styleId="Standard" w:customStyle="1">
    <w:name w:val="Standard"/>
  </w:style>
  <w:style w:type="paragraph" w:styleId="Heading" w:customStyle="1">
    <w:name w:val="Heading"/>
    <w:basedOn w:val="Standard"/>
    <w:next w:val="Textbody"/>
    <w:pPr>
      <w:keepNext/>
      <w:spacing w:before="240" w:after="120"/>
    </w:pPr>
    <w:rPr>
      <w:rFonts w:ascii="Liberation Sans" w:hAnsi="Liberation Sans" w:eastAsia="Noto Sans CJK SC"/>
      <w:sz w:val="28"/>
      <w:szCs w:val="28"/>
    </w:rPr>
  </w:style>
  <w:style w:type="paragraph" w:styleId="Textbody" w:customStyle="1">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styleId="Index" w:customStyle="1">
    <w:name w:val="Index"/>
    <w:basedOn w:val="Standard"/>
    <w:pPr>
      <w:suppressLineNumbers/>
    </w:pPr>
  </w:style>
  <w:style w:type="paragraph" w:styleId="TableContents" w:customStyle="1">
    <w:name w:val="Table Contents"/>
    <w:basedOn w:val="Standard"/>
    <w:pPr>
      <w:suppressLineNumbers/>
    </w:pPr>
  </w:style>
  <w:style w:type="paragraph" w:styleId="HeaderandFooter" w:customStyle="1">
    <w:name w:val="Header and Footer"/>
    <w:basedOn w:val="Standard"/>
    <w:pPr>
      <w:suppressLineNumbers/>
      <w:tabs>
        <w:tab w:val="center" w:pos="4819"/>
        <w:tab w:val="right" w:pos="9638"/>
      </w:tabs>
    </w:pPr>
  </w:style>
  <w:style w:type="paragraph" w:styleId="Footer">
    <w:name w:val="footer"/>
    <w:basedOn w:val="HeaderandFooter"/>
  </w:style>
  <w:style w:type="paragraph" w:styleId="Footnote" w:customStyle="1">
    <w:name w:val="Footnote"/>
    <w:basedOn w:val="Standard"/>
    <w:pPr>
      <w:suppressLineNumbers/>
      <w:ind w:left="339" w:hanging="339"/>
    </w:pPr>
    <w:rPr>
      <w:sz w:val="20"/>
      <w:szCs w:val="20"/>
    </w:rPr>
  </w:style>
  <w:style w:type="character" w:styleId="NumberingSymbols" w:customStyle="1">
    <w:name w:val="Numbering Symbols"/>
  </w:style>
  <w:style w:type="character" w:styleId="Footnoteanchor" w:customStyle="1">
    <w:name w:val="Footnote anchor"/>
    <w:rPr>
      <w:position w:val="0"/>
      <w:vertAlign w:val="superscript"/>
    </w:rPr>
  </w:style>
  <w:style w:type="character" w:styleId="FootnoteSymbol" w:customStyle="1">
    <w:name w:val="Footnote Symbol"/>
  </w:style>
  <w:style w:type="paragraph" w:styleId="FootnoteText">
    <w:name w:val="footnote text"/>
    <w:basedOn w:val="Normal"/>
    <w:link w:val="FootnoteTextChar"/>
    <w:uiPriority w:val="99"/>
    <w:semiHidden/>
    <w:unhideWhenUsed/>
    <w:rsid w:val="00284F9A"/>
    <w:pPr>
      <w:suppressAutoHyphens/>
      <w:autoSpaceDN w:val="0"/>
      <w:spacing w:after="0" w:line="240" w:lineRule="auto"/>
      <w:textAlignment w:val="baseline"/>
    </w:pPr>
    <w:rPr>
      <w:rFonts w:ascii="Liberation Serif" w:hAnsi="Liberation Serif" w:eastAsia="Noto Serif CJK SC" w:cs="Mangal"/>
      <w:color w:val="auto"/>
      <w:kern w:val="3"/>
      <w:sz w:val="20"/>
      <w:szCs w:val="18"/>
      <w:lang w:eastAsia="zh-CN" w:bidi="hi-IN"/>
    </w:rPr>
  </w:style>
  <w:style w:type="character" w:styleId="FootnoteTextChar" w:customStyle="1">
    <w:name w:val="Footnote Text Char"/>
    <w:basedOn w:val="DefaultParagraphFont"/>
    <w:link w:val="FootnoteText"/>
    <w:uiPriority w:val="99"/>
    <w:semiHidden/>
    <w:rsid w:val="00284F9A"/>
    <w:rPr>
      <w:rFonts w:cs="Mangal"/>
      <w:sz w:val="20"/>
      <w:szCs w:val="18"/>
    </w:rPr>
  </w:style>
  <w:style w:type="character" w:styleId="FootnoteReference">
    <w:name w:val="footnote reference"/>
    <w:basedOn w:val="DefaultParagraphFont"/>
    <w:uiPriority w:val="99"/>
    <w:semiHidden/>
    <w:unhideWhenUsed/>
    <w:rsid w:val="00284F9A"/>
    <w:rPr>
      <w:vertAlign w:val="superscript"/>
    </w:rPr>
  </w:style>
  <w:style w:type="paragraph" w:styleId="legp2paratext" w:customStyle="1">
    <w:name w:val="legp2paratext"/>
    <w:basedOn w:val="Normal"/>
    <w:rsid w:val="00B305CF"/>
    <w:pPr>
      <w:spacing w:before="100" w:beforeAutospacing="1" w:after="100" w:afterAutospacing="1" w:line="240" w:lineRule="auto"/>
    </w:pPr>
    <w:rPr>
      <w:rFonts w:ascii="Times New Roman" w:hAnsi="Times New Roman" w:eastAsia="Times New Roman" w:cs="Times New Roman"/>
      <w:color w:val="auto"/>
      <w:szCs w:val="24"/>
    </w:rPr>
  </w:style>
  <w:style w:type="paragraph" w:styleId="legclearfix" w:customStyle="1">
    <w:name w:val="legclearfix"/>
    <w:basedOn w:val="Normal"/>
    <w:rsid w:val="00B305CF"/>
    <w:pPr>
      <w:spacing w:before="100" w:beforeAutospacing="1" w:after="100" w:afterAutospacing="1" w:line="240" w:lineRule="auto"/>
    </w:pPr>
    <w:rPr>
      <w:rFonts w:ascii="Times New Roman" w:hAnsi="Times New Roman" w:eastAsia="Times New Roman" w:cs="Times New Roman"/>
      <w:color w:val="auto"/>
      <w:szCs w:val="24"/>
    </w:rPr>
  </w:style>
  <w:style w:type="character" w:styleId="legds" w:customStyle="1">
    <w:name w:val="legds"/>
    <w:basedOn w:val="DefaultParagraphFont"/>
    <w:rsid w:val="00B305CF"/>
  </w:style>
  <w:style w:type="character" w:styleId="legamendingtext" w:customStyle="1">
    <w:name w:val="legamendingtext"/>
    <w:basedOn w:val="DefaultParagraphFont"/>
    <w:rsid w:val="0008580E"/>
  </w:style>
  <w:style w:type="paragraph" w:styleId="legp1paratext" w:customStyle="1">
    <w:name w:val="legp1paratext"/>
    <w:basedOn w:val="Normal"/>
    <w:rsid w:val="0008580E"/>
    <w:pPr>
      <w:spacing w:before="100" w:beforeAutospacing="1" w:after="100" w:afterAutospacing="1" w:line="240" w:lineRule="auto"/>
    </w:pPr>
    <w:rPr>
      <w:rFonts w:ascii="Times New Roman" w:hAnsi="Times New Roman" w:eastAsia="Times New Roman" w:cs="Times New Roman"/>
      <w:color w:val="auto"/>
      <w:szCs w:val="24"/>
    </w:rPr>
  </w:style>
  <w:style w:type="character" w:styleId="Hyperlink">
    <w:name w:val="Hyperlink"/>
    <w:basedOn w:val="DefaultParagraphFont"/>
    <w:uiPriority w:val="99"/>
    <w:unhideWhenUsed/>
    <w:rsid w:val="0008580E"/>
    <w:rPr>
      <w:color w:val="0000FF"/>
      <w:u w:val="single"/>
    </w:rPr>
  </w:style>
  <w:style w:type="paragraph" w:styleId="ListParagraph">
    <w:name w:val="List Paragraph"/>
    <w:basedOn w:val="Normal"/>
    <w:uiPriority w:val="34"/>
    <w:qFormat/>
    <w:rsid w:val="0008580E"/>
    <w:pPr>
      <w:suppressAutoHyphens/>
      <w:autoSpaceDN w:val="0"/>
      <w:spacing w:after="0" w:line="240" w:lineRule="auto"/>
      <w:ind w:left="720"/>
      <w:contextualSpacing/>
      <w:textAlignment w:val="baseline"/>
    </w:pPr>
    <w:rPr>
      <w:rFonts w:ascii="Liberation Serif" w:hAnsi="Liberation Serif" w:eastAsia="Noto Serif CJK SC" w:cs="Mangal"/>
      <w:color w:val="auto"/>
      <w:kern w:val="3"/>
      <w:szCs w:val="21"/>
      <w:lang w:eastAsia="zh-CN" w:bidi="hi-IN"/>
    </w:rPr>
  </w:style>
  <w:style w:type="paragraph" w:styleId="leglisttextstandard" w:customStyle="1">
    <w:name w:val="leglisttextstandard"/>
    <w:basedOn w:val="Normal"/>
    <w:rsid w:val="00445312"/>
    <w:pPr>
      <w:spacing w:before="100" w:beforeAutospacing="1" w:after="100" w:afterAutospacing="1" w:line="240" w:lineRule="auto"/>
    </w:pPr>
    <w:rPr>
      <w:rFonts w:ascii="Times New Roman" w:hAnsi="Times New Roman" w:eastAsia="Times New Roman" w:cs="Times New Roman"/>
      <w:color w:val="auto"/>
      <w:szCs w:val="24"/>
    </w:rPr>
  </w:style>
  <w:style w:type="character" w:styleId="legp1no" w:customStyle="1">
    <w:name w:val="legp1no"/>
    <w:basedOn w:val="DefaultParagraphFont"/>
    <w:rsid w:val="00445312"/>
  </w:style>
  <w:style w:type="character" w:styleId="legaddition" w:customStyle="1">
    <w:name w:val="legaddition"/>
    <w:basedOn w:val="DefaultParagraphFont"/>
    <w:rsid w:val="00445312"/>
  </w:style>
  <w:style w:type="character" w:styleId="legsubstitution" w:customStyle="1">
    <w:name w:val="legsubstitution"/>
    <w:basedOn w:val="DefaultParagraphFont"/>
    <w:rsid w:val="00445312"/>
  </w:style>
  <w:style w:type="character" w:styleId="legrepeal" w:customStyle="1">
    <w:name w:val="legrepeal"/>
    <w:basedOn w:val="DefaultParagraphFont"/>
    <w:rsid w:val="00445312"/>
  </w:style>
  <w:style w:type="paragraph" w:styleId="legrhs" w:customStyle="1">
    <w:name w:val="legrhs"/>
    <w:basedOn w:val="Normal"/>
    <w:rsid w:val="00445312"/>
    <w:pPr>
      <w:spacing w:before="100" w:beforeAutospacing="1" w:after="100" w:afterAutospacing="1" w:line="240" w:lineRule="auto"/>
    </w:pPr>
    <w:rPr>
      <w:rFonts w:ascii="Times New Roman" w:hAnsi="Times New Roman" w:eastAsia="Times New Roman" w:cs="Times New Roman"/>
      <w:color w:val="auto"/>
      <w:szCs w:val="24"/>
    </w:rPr>
  </w:style>
  <w:style w:type="character" w:styleId="legchangedelimiter" w:customStyle="1">
    <w:name w:val="legchangedelimiter"/>
    <w:basedOn w:val="DefaultParagraphFont"/>
    <w:rsid w:val="00445312"/>
  </w:style>
  <w:style w:type="paragraph" w:styleId="legp2text" w:customStyle="1">
    <w:name w:val="legp2text"/>
    <w:basedOn w:val="Normal"/>
    <w:rsid w:val="00445312"/>
    <w:pPr>
      <w:spacing w:before="100" w:beforeAutospacing="1" w:after="100" w:afterAutospacing="1" w:line="240" w:lineRule="auto"/>
    </w:pPr>
    <w:rPr>
      <w:rFonts w:ascii="Times New Roman" w:hAnsi="Times New Roman" w:eastAsia="Times New Roman" w:cs="Times New Roman"/>
      <w:color w:val="auto"/>
      <w:szCs w:val="24"/>
    </w:rPr>
  </w:style>
  <w:style w:type="paragraph" w:styleId="NormalWeb">
    <w:name w:val="Normal (Web)"/>
    <w:basedOn w:val="Normal"/>
    <w:uiPriority w:val="99"/>
    <w:semiHidden/>
    <w:unhideWhenUsed/>
    <w:rsid w:val="00F276D7"/>
    <w:pPr>
      <w:spacing w:before="100" w:beforeAutospacing="1" w:after="100" w:afterAutospacing="1" w:line="240" w:lineRule="auto"/>
    </w:pPr>
    <w:rPr>
      <w:rFonts w:eastAsiaTheme="minorHAnsi"/>
      <w:color w:val="auto"/>
    </w:rPr>
  </w:style>
  <w:style w:type="character" w:styleId="Strong">
    <w:name w:val="Strong"/>
    <w:basedOn w:val="DefaultParagraphFont"/>
    <w:uiPriority w:val="22"/>
    <w:qFormat/>
    <w:rsid w:val="00F276D7"/>
    <w:rPr>
      <w:b/>
      <w:bCs/>
    </w:rPr>
  </w:style>
  <w:style w:type="paragraph" w:styleId="Revision">
    <w:name w:val="Revision"/>
    <w:hidden/>
    <w:uiPriority w:val="99"/>
    <w:semiHidden/>
    <w:rsid w:val="00B22265"/>
    <w:pPr>
      <w:suppressAutoHyphens w:val="0"/>
      <w:autoSpaceDN/>
      <w:textAlignment w:val="auto"/>
    </w:pPr>
    <w:rPr>
      <w:rFonts w:ascii="Calibri" w:hAnsi="Calibri" w:eastAsia="Calibri" w:cs="Calibri"/>
      <w:color w:val="000000"/>
      <w:kern w:val="0"/>
      <w:sz w:val="22"/>
      <w:szCs w:val="22"/>
      <w:lang w:eastAsia="en-GB" w:bidi="ar-SA"/>
    </w:rPr>
  </w:style>
  <w:style w:type="character" w:styleId="UnresolvedMention">
    <w:name w:val="Unresolved Mention"/>
    <w:basedOn w:val="DefaultParagraphFont"/>
    <w:uiPriority w:val="99"/>
    <w:semiHidden/>
    <w:unhideWhenUsed/>
    <w:rsid w:val="00A3198A"/>
    <w:rPr>
      <w:color w:val="605E5C"/>
      <w:shd w:val="clear" w:color="auto" w:fill="E1DFDD"/>
    </w:rPr>
  </w:style>
  <w:style w:type="character" w:styleId="CommentReference">
    <w:name w:val="annotation reference"/>
    <w:basedOn w:val="DefaultParagraphFont"/>
    <w:uiPriority w:val="99"/>
    <w:semiHidden/>
    <w:unhideWhenUsed/>
    <w:rsid w:val="007A4C97"/>
    <w:rPr>
      <w:sz w:val="16"/>
      <w:szCs w:val="16"/>
    </w:rPr>
  </w:style>
  <w:style w:type="paragraph" w:styleId="CommentText">
    <w:name w:val="annotation text"/>
    <w:basedOn w:val="Normal"/>
    <w:link w:val="CommentTextChar"/>
    <w:uiPriority w:val="99"/>
    <w:semiHidden/>
    <w:unhideWhenUsed/>
    <w:rsid w:val="007A4C97"/>
    <w:pPr>
      <w:spacing w:line="240" w:lineRule="auto"/>
    </w:pPr>
    <w:rPr>
      <w:sz w:val="20"/>
      <w:szCs w:val="20"/>
    </w:rPr>
  </w:style>
  <w:style w:type="character" w:styleId="CommentTextChar" w:customStyle="1">
    <w:name w:val="Comment Text Char"/>
    <w:basedOn w:val="DefaultParagraphFont"/>
    <w:link w:val="CommentText"/>
    <w:uiPriority w:val="99"/>
    <w:semiHidden/>
    <w:rsid w:val="007A4C97"/>
    <w:rPr>
      <w:rFonts w:ascii="Calibri" w:hAnsi="Calibri" w:eastAsia="Calibri" w:cs="Calibri"/>
      <w:color w:val="000000"/>
      <w:kern w:val="0"/>
      <w:sz w:val="20"/>
      <w:szCs w:val="20"/>
      <w:lang w:eastAsia="en-GB" w:bidi="ar-SA"/>
    </w:rPr>
  </w:style>
  <w:style w:type="paragraph" w:styleId="CommentSubject">
    <w:name w:val="annotation subject"/>
    <w:basedOn w:val="CommentText"/>
    <w:next w:val="CommentText"/>
    <w:link w:val="CommentSubjectChar"/>
    <w:uiPriority w:val="99"/>
    <w:semiHidden/>
    <w:unhideWhenUsed/>
    <w:rsid w:val="007A4C97"/>
    <w:rPr>
      <w:b/>
      <w:bCs/>
    </w:rPr>
  </w:style>
  <w:style w:type="character" w:styleId="CommentSubjectChar" w:customStyle="1">
    <w:name w:val="Comment Subject Char"/>
    <w:basedOn w:val="CommentTextChar"/>
    <w:link w:val="CommentSubject"/>
    <w:uiPriority w:val="99"/>
    <w:semiHidden/>
    <w:rsid w:val="007A4C97"/>
    <w:rPr>
      <w:rFonts w:ascii="Calibri" w:hAnsi="Calibri" w:eastAsia="Calibri" w:cs="Calibri"/>
      <w:b/>
      <w:bCs/>
      <w:color w:val="000000"/>
      <w:kern w:val="0"/>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5620">
      <w:bodyDiv w:val="1"/>
      <w:marLeft w:val="0"/>
      <w:marRight w:val="0"/>
      <w:marTop w:val="0"/>
      <w:marBottom w:val="0"/>
      <w:divBdr>
        <w:top w:val="none" w:sz="0" w:space="0" w:color="auto"/>
        <w:left w:val="none" w:sz="0" w:space="0" w:color="auto"/>
        <w:bottom w:val="none" w:sz="0" w:space="0" w:color="auto"/>
        <w:right w:val="none" w:sz="0" w:space="0" w:color="auto"/>
      </w:divBdr>
    </w:div>
    <w:div w:id="171185083">
      <w:bodyDiv w:val="1"/>
      <w:marLeft w:val="0"/>
      <w:marRight w:val="0"/>
      <w:marTop w:val="0"/>
      <w:marBottom w:val="0"/>
      <w:divBdr>
        <w:top w:val="none" w:sz="0" w:space="0" w:color="auto"/>
        <w:left w:val="none" w:sz="0" w:space="0" w:color="auto"/>
        <w:bottom w:val="none" w:sz="0" w:space="0" w:color="auto"/>
        <w:right w:val="none" w:sz="0" w:space="0" w:color="auto"/>
      </w:divBdr>
    </w:div>
    <w:div w:id="283660334">
      <w:bodyDiv w:val="1"/>
      <w:marLeft w:val="0"/>
      <w:marRight w:val="0"/>
      <w:marTop w:val="0"/>
      <w:marBottom w:val="0"/>
      <w:divBdr>
        <w:top w:val="none" w:sz="0" w:space="0" w:color="auto"/>
        <w:left w:val="none" w:sz="0" w:space="0" w:color="auto"/>
        <w:bottom w:val="none" w:sz="0" w:space="0" w:color="auto"/>
        <w:right w:val="none" w:sz="0" w:space="0" w:color="auto"/>
      </w:divBdr>
    </w:div>
    <w:div w:id="560361559">
      <w:bodyDiv w:val="1"/>
      <w:marLeft w:val="0"/>
      <w:marRight w:val="0"/>
      <w:marTop w:val="0"/>
      <w:marBottom w:val="0"/>
      <w:divBdr>
        <w:top w:val="none" w:sz="0" w:space="0" w:color="auto"/>
        <w:left w:val="none" w:sz="0" w:space="0" w:color="auto"/>
        <w:bottom w:val="none" w:sz="0" w:space="0" w:color="auto"/>
        <w:right w:val="none" w:sz="0" w:space="0" w:color="auto"/>
      </w:divBdr>
    </w:div>
    <w:div w:id="607663047">
      <w:bodyDiv w:val="1"/>
      <w:marLeft w:val="0"/>
      <w:marRight w:val="0"/>
      <w:marTop w:val="0"/>
      <w:marBottom w:val="0"/>
      <w:divBdr>
        <w:top w:val="none" w:sz="0" w:space="0" w:color="auto"/>
        <w:left w:val="none" w:sz="0" w:space="0" w:color="auto"/>
        <w:bottom w:val="none" w:sz="0" w:space="0" w:color="auto"/>
        <w:right w:val="none" w:sz="0" w:space="0" w:color="auto"/>
      </w:divBdr>
    </w:div>
    <w:div w:id="630400268">
      <w:bodyDiv w:val="1"/>
      <w:marLeft w:val="0"/>
      <w:marRight w:val="0"/>
      <w:marTop w:val="0"/>
      <w:marBottom w:val="0"/>
      <w:divBdr>
        <w:top w:val="none" w:sz="0" w:space="0" w:color="auto"/>
        <w:left w:val="none" w:sz="0" w:space="0" w:color="auto"/>
        <w:bottom w:val="none" w:sz="0" w:space="0" w:color="auto"/>
        <w:right w:val="none" w:sz="0" w:space="0" w:color="auto"/>
      </w:divBdr>
    </w:div>
    <w:div w:id="964851986">
      <w:bodyDiv w:val="1"/>
      <w:marLeft w:val="0"/>
      <w:marRight w:val="0"/>
      <w:marTop w:val="0"/>
      <w:marBottom w:val="0"/>
      <w:divBdr>
        <w:top w:val="none" w:sz="0" w:space="0" w:color="auto"/>
        <w:left w:val="none" w:sz="0" w:space="0" w:color="auto"/>
        <w:bottom w:val="none" w:sz="0" w:space="0" w:color="auto"/>
        <w:right w:val="none" w:sz="0" w:space="0" w:color="auto"/>
      </w:divBdr>
    </w:div>
    <w:div w:id="1062362083">
      <w:bodyDiv w:val="1"/>
      <w:marLeft w:val="0"/>
      <w:marRight w:val="0"/>
      <w:marTop w:val="0"/>
      <w:marBottom w:val="0"/>
      <w:divBdr>
        <w:top w:val="none" w:sz="0" w:space="0" w:color="auto"/>
        <w:left w:val="none" w:sz="0" w:space="0" w:color="auto"/>
        <w:bottom w:val="none" w:sz="0" w:space="0" w:color="auto"/>
        <w:right w:val="none" w:sz="0" w:space="0" w:color="auto"/>
      </w:divBdr>
    </w:div>
    <w:div w:id="1093547664">
      <w:bodyDiv w:val="1"/>
      <w:marLeft w:val="0"/>
      <w:marRight w:val="0"/>
      <w:marTop w:val="0"/>
      <w:marBottom w:val="0"/>
      <w:divBdr>
        <w:top w:val="none" w:sz="0" w:space="0" w:color="auto"/>
        <w:left w:val="none" w:sz="0" w:space="0" w:color="auto"/>
        <w:bottom w:val="none" w:sz="0" w:space="0" w:color="auto"/>
        <w:right w:val="none" w:sz="0" w:space="0" w:color="auto"/>
      </w:divBdr>
    </w:div>
    <w:div w:id="1398556992">
      <w:bodyDiv w:val="1"/>
      <w:marLeft w:val="0"/>
      <w:marRight w:val="0"/>
      <w:marTop w:val="0"/>
      <w:marBottom w:val="0"/>
      <w:divBdr>
        <w:top w:val="none" w:sz="0" w:space="0" w:color="auto"/>
        <w:left w:val="none" w:sz="0" w:space="0" w:color="auto"/>
        <w:bottom w:val="none" w:sz="0" w:space="0" w:color="auto"/>
        <w:right w:val="none" w:sz="0" w:space="0" w:color="auto"/>
      </w:divBdr>
    </w:div>
    <w:div w:id="1404183692">
      <w:bodyDiv w:val="1"/>
      <w:marLeft w:val="0"/>
      <w:marRight w:val="0"/>
      <w:marTop w:val="0"/>
      <w:marBottom w:val="0"/>
      <w:divBdr>
        <w:top w:val="none" w:sz="0" w:space="0" w:color="auto"/>
        <w:left w:val="none" w:sz="0" w:space="0" w:color="auto"/>
        <w:bottom w:val="none" w:sz="0" w:space="0" w:color="auto"/>
        <w:right w:val="none" w:sz="0" w:space="0" w:color="auto"/>
      </w:divBdr>
    </w:div>
    <w:div w:id="1435975024">
      <w:bodyDiv w:val="1"/>
      <w:marLeft w:val="0"/>
      <w:marRight w:val="0"/>
      <w:marTop w:val="0"/>
      <w:marBottom w:val="0"/>
      <w:divBdr>
        <w:top w:val="none" w:sz="0" w:space="0" w:color="auto"/>
        <w:left w:val="none" w:sz="0" w:space="0" w:color="auto"/>
        <w:bottom w:val="none" w:sz="0" w:space="0" w:color="auto"/>
        <w:right w:val="none" w:sz="0" w:space="0" w:color="auto"/>
      </w:divBdr>
    </w:div>
    <w:div w:id="1562520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pag.org.uk/welfare-rights/resources/test-case/destitute-eu-nationals-pss-can-rely-eu-charter-fundamental-right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dvice@cpag.org.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dvice@cpag.org.uk"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pag.org.uk/welfare-rights/resources/test-case/destitute-eu-nationals-pss-can-rely-eu-charter-fundamental-rights"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s://cpag.org.uk/sites/default/files/2023-12/AT-Operational-Guidance-FOI-14-09-202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ill\AppData\Roaming\Microsoft\Templates\FTT-P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Props1.xml><?xml version="1.0" encoding="utf-8"?>
<ds:datastoreItem xmlns:ds="http://schemas.openxmlformats.org/officeDocument/2006/customXml" ds:itemID="{CA619C4B-AC04-40C4-8155-46403C9A906A}"/>
</file>

<file path=customXml/itemProps2.xml><?xml version="1.0" encoding="utf-8"?>
<ds:datastoreItem xmlns:ds="http://schemas.openxmlformats.org/officeDocument/2006/customXml" ds:itemID="{C754C42E-11CD-4D75-90E2-365AABC400CB}">
  <ds:schemaRefs>
    <ds:schemaRef ds:uri="http://schemas.openxmlformats.org/officeDocument/2006/bibliography"/>
  </ds:schemaRefs>
</ds:datastoreItem>
</file>

<file path=customXml/itemProps3.xml><?xml version="1.0" encoding="utf-8"?>
<ds:datastoreItem xmlns:ds="http://schemas.openxmlformats.org/officeDocument/2006/customXml" ds:itemID="{131DD242-9178-42E9-9E3C-2F1A270C8137}">
  <ds:schemaRefs>
    <ds:schemaRef ds:uri="http://schemas.microsoft.com/sharepoint/v3/contenttype/forms"/>
  </ds:schemaRefs>
</ds:datastoreItem>
</file>

<file path=customXml/itemProps4.xml><?xml version="1.0" encoding="utf-8"?>
<ds:datastoreItem xmlns:ds="http://schemas.openxmlformats.org/officeDocument/2006/customXml" ds:itemID="{2EC401C7-7FB8-4009-848C-E137F99285B9}">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FTT-PTA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Martin Williams</dc:creator>
  <keywords/>
  <dc:description/>
  <lastModifiedBy>Susan Mitchell</lastModifiedBy>
  <revision>7</revision>
  <dcterms:created xsi:type="dcterms:W3CDTF">2024-03-27T12:41:00.0000000Z</dcterms:created>
  <dcterms:modified xsi:type="dcterms:W3CDTF">2024-04-02T16:06:14.5630229Z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0x0101008595143BE3AFE244BA8430A45F6507EC</vt:lpwstr>
  </property>
  <property fmtid="{D5CDD505-2E9C-101B-9397-08002B2CF9AE}" pid="3" name="Order">
    <vt:r8>10260200</vt:r8>
  </property>
  <property fmtid="{D5CDD505-2E9C-101B-9397-08002B2CF9AE}" pid="4" name="MediaServiceImageTags">
    <vt:lpwstr/>
  </property>
</Properties>
</file>